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74455C"/>
    <w:p w14:paraId="3C47CF7B"/>
    <w:p w14:paraId="3CDAF20A"/>
    <w:p w14:paraId="2554DB8B"/>
    <w:p w14:paraId="6A0AF33E">
      <w:pPr>
        <w:jc w:val="center"/>
      </w:pPr>
      <w:r>
        <w:rPr>
          <w:rFonts w:ascii="Times New Roman" w:hAnsi="Times New Roman" w:eastAsia="宋体"/>
          <w:b/>
          <w:i w:val="0"/>
          <w:sz w:val="36"/>
          <w:u w:val="none"/>
        </w:rPr>
        <w:t>《新时代中国经济B》期末报告</w:t>
      </w:r>
    </w:p>
    <w:p w14:paraId="791B1C77">
      <w:pPr>
        <w:spacing w:before="720"/>
        <w:jc w:val="center"/>
      </w:pPr>
      <w:r>
        <w:rPr>
          <w:rFonts w:ascii="Times New Roman" w:hAnsi="Times New Roman" w:eastAsia="黑体"/>
          <w:b/>
          <w:i w:val="0"/>
          <w:sz w:val="44"/>
          <w:u w:val="none"/>
        </w:rPr>
        <w:t>新质生产力驱动新时代中国经济高质量发展的逻辑、难点与路径</w:t>
      </w:r>
    </w:p>
    <w:p w14:paraId="29AEE2C9">
      <w:pPr>
        <w:jc w:val="center"/>
      </w:pPr>
      <w:r>
        <w:rPr>
          <w:rFonts w:ascii="Times New Roman" w:hAnsi="Times New Roman" w:eastAsia="宋体"/>
          <w:b w:val="0"/>
          <w:i w:val="0"/>
          <w:sz w:val="32"/>
          <w:u w:val="none"/>
        </w:rPr>
        <w:t>小论文</w:t>
      </w:r>
    </w:p>
    <w:p w14:paraId="7941F1C5"/>
    <w:p w14:paraId="0381481B"/>
    <w:p w14:paraId="0DDCC84A">
      <w:pPr>
        <w:jc w:val="center"/>
      </w:pPr>
      <w:r>
        <w:rPr>
          <w:rFonts w:ascii="Times New Roman" w:hAnsi="Times New Roman" w:eastAsia="宋体"/>
          <w:b w:val="0"/>
          <w:i w:val="0"/>
          <w:sz w:val="28"/>
          <w:u w:val="none"/>
        </w:rPr>
        <w:t>作者：________</w:t>
      </w:r>
    </w:p>
    <w:p w14:paraId="3F0E95EB">
      <w:pPr>
        <w:jc w:val="center"/>
      </w:pPr>
      <w:r>
        <w:rPr>
          <w:rFonts w:ascii="Times New Roman" w:hAnsi="Times New Roman" w:eastAsia="宋体"/>
          <w:b w:val="0"/>
          <w:i w:val="0"/>
          <w:sz w:val="28"/>
          <w:u w:val="none"/>
        </w:rPr>
        <w:t>学号：________</w:t>
      </w:r>
    </w:p>
    <w:p w14:paraId="5EE67D9E">
      <w:pPr>
        <w:jc w:val="center"/>
      </w:pPr>
      <w:r>
        <w:rPr>
          <w:rFonts w:ascii="Times New Roman" w:hAnsi="Times New Roman" w:eastAsia="宋体"/>
          <w:b w:val="0"/>
          <w:i w:val="0"/>
          <w:sz w:val="28"/>
          <w:u w:val="none"/>
        </w:rPr>
        <w:t>班级：________</w:t>
      </w:r>
    </w:p>
    <w:p w14:paraId="2F976953">
      <w:pPr>
        <w:jc w:val="center"/>
      </w:pPr>
      <w:r>
        <w:rPr>
          <w:rFonts w:ascii="Times New Roman" w:hAnsi="Times New Roman" w:eastAsia="宋体"/>
          <w:b w:val="0"/>
          <w:i w:val="0"/>
          <w:sz w:val="28"/>
          <w:u w:val="none"/>
        </w:rPr>
        <w:t>专业：________</w:t>
      </w:r>
    </w:p>
    <w:p w14:paraId="3B839717">
      <w:pPr>
        <w:jc w:val="center"/>
      </w:pPr>
      <w:r>
        <w:rPr>
          <w:rFonts w:ascii="Times New Roman" w:hAnsi="Times New Roman" w:eastAsia="宋体"/>
          <w:b w:val="0"/>
          <w:i w:val="0"/>
          <w:sz w:val="28"/>
          <w:u w:val="none"/>
        </w:rPr>
        <w:t>日期：2026年7月</w:t>
      </w:r>
    </w:p>
    <w:p w14:paraId="01157A32">
      <w:r>
        <w:br w:type="page"/>
      </w:r>
    </w:p>
    <w:p w14:paraId="4374A19D">
      <w:pPr>
        <w:spacing w:after="240"/>
        <w:jc w:val="center"/>
      </w:pPr>
      <w:r>
        <w:rPr>
          <w:rFonts w:ascii="Times New Roman" w:hAnsi="Times New Roman" w:eastAsia="黑体"/>
          <w:b/>
          <w:i w:val="0"/>
          <w:sz w:val="32"/>
          <w:u w:val="none"/>
        </w:rPr>
        <w:t>新质生产力驱动新时代中国经济高质量发展的逻辑、难点与路径</w:t>
      </w:r>
    </w:p>
    <w:p w14:paraId="1BE782E1">
      <w:pPr>
        <w:pStyle w:val="3"/>
        <w:keepNext/>
        <w:keepLines/>
        <w:pageBreakBefore w:val="0"/>
        <w:widowControl/>
        <w:kinsoku/>
        <w:wordWrap/>
        <w:overflowPunct/>
        <w:topLinePunct w:val="0"/>
        <w:autoSpaceDE/>
        <w:autoSpaceDN/>
        <w:bidi w:val="0"/>
        <w:adjustRightInd/>
        <w:snapToGrid/>
        <w:spacing w:before="200" w:after="120"/>
        <w:ind w:firstLineChars="0"/>
        <w:jc w:val="center"/>
        <w:textAlignment w:val="auto"/>
      </w:pPr>
      <w:bookmarkStart w:id="0" w:name="_Toc11176"/>
      <w:r>
        <w:rPr>
          <w:rFonts w:ascii="Times New Roman" w:hAnsi="Times New Roman" w:eastAsia="黑体"/>
          <w:b/>
          <w:i w:val="0"/>
          <w:sz w:val="32"/>
          <w:u w:val="none"/>
        </w:rPr>
        <w:t>摘要</w:t>
      </w:r>
      <w:bookmarkEnd w:id="0"/>
    </w:p>
    <w:p w14:paraId="15550395">
      <w:pPr>
        <w:keepNext w:val="0"/>
        <w:keepLines w:val="0"/>
        <w:pageBreakBefore w:val="0"/>
        <w:spacing w:before="0" w:after="0" w:line="360" w:lineRule="auto"/>
        <w:ind w:firstLineChars="200"/>
        <w:jc w:val="both"/>
      </w:pPr>
      <w:r>
        <w:rPr>
          <w:rFonts w:ascii="Times New Roman" w:hAnsi="Times New Roman" w:eastAsia="宋体"/>
          <w:b w:val="0"/>
          <w:i w:val="0"/>
          <w:sz w:val="24"/>
          <w:u w:val="none"/>
        </w:rPr>
        <w:t>新时代中国经济已由高速增长阶段转向高质量发展阶段，增长动力、产业组织方式和宏观治理逻辑都在发生变化。新质生产力以科技创新为核心，以数字化、智能化、绿色化和产业深度融合为重要特征，正在成为理解中国经济转型的重要概念。本文在梳理相关政策文本和文献观点的基础上，结合2025年中国经济运行数据，分析新质生产力推动高质量发展的理论逻辑、现实基础、主要难点与实践路径。研究认为，发展新质生产力不能被简单理解为追逐少数新兴产业，而应表现为科技创新、现代化产业体系、全国统一大市场、绿色转型和民生改善之间的系统联动。面向下一阶段，应把教育科技人才一体化、实体经济升级、制度供给优化和需求端改善结合起来，使新质生产力真正转化为稳定、可持续、惠及更广泛群体的经济发展能力。</w:t>
      </w:r>
    </w:p>
    <w:p w14:paraId="29A6C22C">
      <w:pPr>
        <w:pStyle w:val="3"/>
        <w:keepNext/>
        <w:keepLines/>
        <w:pageBreakBefore w:val="0"/>
        <w:widowControl/>
        <w:kinsoku/>
        <w:wordWrap/>
        <w:overflowPunct/>
        <w:topLinePunct w:val="0"/>
        <w:autoSpaceDE/>
        <w:autoSpaceDN/>
        <w:bidi w:val="0"/>
        <w:adjustRightInd/>
        <w:snapToGrid/>
        <w:spacing w:before="200" w:after="120"/>
        <w:ind w:firstLineChars="0"/>
        <w:textAlignment w:val="auto"/>
        <w:rPr>
          <w:rFonts w:ascii="Times New Roman" w:hAnsi="Times New Roman" w:eastAsia="宋体"/>
          <w:b w:val="0"/>
          <w:i w:val="0"/>
          <w:sz w:val="24"/>
          <w:u w:val="none"/>
        </w:rPr>
      </w:pPr>
      <w:bookmarkStart w:id="1" w:name="_Toc16522"/>
      <w:r>
        <w:rPr>
          <w:rFonts w:ascii="Times New Roman" w:hAnsi="Times New Roman" w:eastAsia="黑体"/>
          <w:b/>
          <w:i w:val="0"/>
          <w:sz w:val="24"/>
          <w:szCs w:val="24"/>
          <w:u w:val="none"/>
        </w:rPr>
        <w:t>关键词</w:t>
      </w:r>
      <w:r>
        <w:rPr>
          <w:rFonts w:hint="eastAsia"/>
          <w:b/>
          <w:i w:val="0"/>
          <w:sz w:val="32"/>
          <w:u w:val="none"/>
          <w:lang w:eastAsia="zh-CN"/>
        </w:rPr>
        <w:t>：</w:t>
      </w:r>
      <w:r>
        <w:rPr>
          <w:rFonts w:ascii="Times New Roman" w:hAnsi="Times New Roman" w:eastAsia="宋体"/>
          <w:b w:val="0"/>
          <w:i w:val="0"/>
          <w:sz w:val="24"/>
          <w:u w:val="none"/>
        </w:rPr>
        <w:t>新质生产力；高质量发展；现代化产业体系；数字经济；中国式现代化</w:t>
      </w:r>
      <w:bookmarkEnd w:id="1"/>
    </w:p>
    <w:p w14:paraId="05807696">
      <w:pPr>
        <w:rPr>
          <w:rFonts w:ascii="Times New Roman" w:hAnsi="Times New Roman" w:eastAsia="宋体"/>
          <w:b w:val="0"/>
          <w:i w:val="0"/>
          <w:sz w:val="24"/>
          <w:u w:val="none"/>
        </w:rPr>
      </w:pPr>
      <w:r>
        <w:rPr>
          <w:rFonts w:ascii="Times New Roman" w:hAnsi="Times New Roman" w:eastAsia="宋体"/>
          <w:b w:val="0"/>
          <w:i w:val="0"/>
          <w:sz w:val="24"/>
          <w:u w:val="none"/>
        </w:rPr>
        <w:br w:type="page"/>
      </w:r>
    </w:p>
    <w:sdt>
      <w:sdtPr>
        <w:rPr>
          <w:rFonts w:hint="eastAsia" w:ascii="黑体" w:hAnsi="黑体" w:eastAsia="黑体" w:cs="黑体"/>
          <w:b/>
          <w:bCs/>
          <w:sz w:val="32"/>
          <w:szCs w:val="32"/>
          <w:lang w:val="en-US" w:eastAsia="en-US" w:bidi="ar-SA"/>
        </w:rPr>
        <w:id w:val="147453649"/>
        <w15:color w:val="DBDBDB"/>
        <w:docPartObj>
          <w:docPartGallery w:val="Table of Contents"/>
          <w:docPartUnique/>
        </w:docPartObj>
      </w:sdtPr>
      <w:sdtEndPr>
        <w:rPr>
          <w:rFonts w:ascii="Times New Roman" w:hAnsi="Times New Roman" w:eastAsia="宋体" w:cstheme="minorBidi"/>
          <w:sz w:val="24"/>
          <w:szCs w:val="22"/>
          <w:lang w:val="en-US" w:eastAsia="en-US" w:bidi="ar-SA"/>
        </w:rPr>
      </w:sdtEndPr>
      <w:sdtContent>
        <w:p w14:paraId="0C248358">
          <w:pPr>
            <w:spacing w:before="0" w:beforeLines="0" w:after="0" w:afterLines="0" w:line="240" w:lineRule="auto"/>
            <w:ind w:left="0" w:leftChars="0" w:right="0" w:rightChars="0" w:firstLine="0" w:firstLineChars="0"/>
            <w:jc w:val="center"/>
            <w:rPr>
              <w:rFonts w:hint="eastAsia" w:ascii="黑体" w:hAnsi="黑体" w:eastAsia="黑体" w:cs="黑体"/>
              <w:b/>
              <w:bCs/>
              <w:sz w:val="32"/>
              <w:szCs w:val="32"/>
            </w:rPr>
          </w:pPr>
          <w:r>
            <w:rPr>
              <w:rFonts w:hint="eastAsia" w:ascii="黑体" w:hAnsi="黑体" w:eastAsia="黑体" w:cs="黑体"/>
              <w:b/>
              <w:bCs/>
              <w:sz w:val="32"/>
              <w:szCs w:val="32"/>
            </w:rPr>
            <w:t>目</w:t>
          </w:r>
          <w:r>
            <w:rPr>
              <w:rFonts w:hint="eastAsia" w:ascii="黑体" w:hAnsi="黑体" w:eastAsia="黑体" w:cs="黑体"/>
              <w:b/>
              <w:bCs/>
              <w:sz w:val="32"/>
              <w:szCs w:val="32"/>
              <w:lang w:val="en-US" w:eastAsia="zh-CN"/>
            </w:rPr>
            <w:t xml:space="preserve"> </w:t>
          </w:r>
          <w:r>
            <w:rPr>
              <w:rFonts w:hint="eastAsia" w:ascii="黑体" w:hAnsi="黑体" w:eastAsia="黑体" w:cs="黑体"/>
              <w:b/>
              <w:bCs/>
              <w:sz w:val="32"/>
              <w:szCs w:val="32"/>
            </w:rPr>
            <w:t>录</w:t>
          </w:r>
        </w:p>
        <w:p w14:paraId="14827803">
          <w:pPr>
            <w:pStyle w:val="26"/>
            <w:tabs>
              <w:tab w:val="right" w:leader="dot" w:pos="9072"/>
            </w:tabs>
          </w:pPr>
          <w:r>
            <w:fldChar w:fldCharType="begin"/>
          </w:r>
          <w:r>
            <w:instrText xml:space="preserve">TOC \o "1-1" \h \u </w:instrText>
          </w:r>
          <w:r>
            <w:fldChar w:fldCharType="separate"/>
          </w:r>
          <w:r>
            <w:fldChar w:fldCharType="begin"/>
          </w:r>
          <w:r>
            <w:instrText xml:space="preserve"> HYPERLINK \l _Toc2086 </w:instrText>
          </w:r>
          <w:r>
            <w:fldChar w:fldCharType="separate"/>
          </w:r>
          <w:r>
            <w:rPr>
              <w:rFonts w:ascii="Times New Roman" w:hAnsi="Times New Roman" w:eastAsia="黑体"/>
              <w:i w:val="0"/>
            </w:rPr>
            <w:t>一、引言</w:t>
          </w:r>
          <w:r>
            <w:tab/>
          </w:r>
          <w:r>
            <w:fldChar w:fldCharType="begin"/>
          </w:r>
          <w:r>
            <w:instrText xml:space="preserve"> PAGEREF _Toc2086 \h </w:instrText>
          </w:r>
          <w:r>
            <w:fldChar w:fldCharType="separate"/>
          </w:r>
          <w:r>
            <w:t>1</w:t>
          </w:r>
          <w:r>
            <w:fldChar w:fldCharType="end"/>
          </w:r>
          <w:r>
            <w:fldChar w:fldCharType="end"/>
          </w:r>
        </w:p>
        <w:p w14:paraId="66C1E017">
          <w:pPr>
            <w:pStyle w:val="26"/>
            <w:tabs>
              <w:tab w:val="right" w:leader="dot" w:pos="9072"/>
            </w:tabs>
          </w:pPr>
          <w:r>
            <w:fldChar w:fldCharType="begin"/>
          </w:r>
          <w:r>
            <w:instrText xml:space="preserve"> HYPERLINK \l _Toc13241 </w:instrText>
          </w:r>
          <w:r>
            <w:fldChar w:fldCharType="separate"/>
          </w:r>
          <w:r>
            <w:rPr>
              <w:rFonts w:ascii="Times New Roman" w:hAnsi="Times New Roman" w:eastAsia="黑体"/>
              <w:i w:val="0"/>
            </w:rPr>
            <w:t>二、文献与政策述评</w:t>
          </w:r>
          <w:r>
            <w:tab/>
          </w:r>
          <w:r>
            <w:fldChar w:fldCharType="begin"/>
          </w:r>
          <w:r>
            <w:instrText xml:space="preserve"> PAGEREF _Toc13241 \h </w:instrText>
          </w:r>
          <w:r>
            <w:fldChar w:fldCharType="separate"/>
          </w:r>
          <w:r>
            <w:t>1</w:t>
          </w:r>
          <w:r>
            <w:fldChar w:fldCharType="end"/>
          </w:r>
          <w:r>
            <w:fldChar w:fldCharType="end"/>
          </w:r>
        </w:p>
        <w:p w14:paraId="280026F4">
          <w:pPr>
            <w:pStyle w:val="26"/>
            <w:tabs>
              <w:tab w:val="right" w:leader="dot" w:pos="9072"/>
            </w:tabs>
          </w:pPr>
          <w:r>
            <w:fldChar w:fldCharType="begin"/>
          </w:r>
          <w:r>
            <w:instrText xml:space="preserve"> HYPERLINK \l _Toc10814 </w:instrText>
          </w:r>
          <w:r>
            <w:fldChar w:fldCharType="separate"/>
          </w:r>
          <w:r>
            <w:rPr>
              <w:rFonts w:ascii="Times New Roman" w:hAnsi="Times New Roman" w:eastAsia="黑体"/>
              <w:i w:val="0"/>
            </w:rPr>
            <w:t>三、新质生产力形成的现实基础</w:t>
          </w:r>
          <w:r>
            <w:tab/>
          </w:r>
          <w:r>
            <w:fldChar w:fldCharType="begin"/>
          </w:r>
          <w:r>
            <w:instrText xml:space="preserve"> PAGEREF _Toc10814 \h </w:instrText>
          </w:r>
          <w:r>
            <w:fldChar w:fldCharType="separate"/>
          </w:r>
          <w:r>
            <w:t>2</w:t>
          </w:r>
          <w:r>
            <w:fldChar w:fldCharType="end"/>
          </w:r>
          <w:r>
            <w:fldChar w:fldCharType="end"/>
          </w:r>
        </w:p>
        <w:p w14:paraId="48DD0F34">
          <w:pPr>
            <w:pStyle w:val="26"/>
            <w:tabs>
              <w:tab w:val="right" w:leader="dot" w:pos="9072"/>
            </w:tabs>
          </w:pPr>
          <w:r>
            <w:fldChar w:fldCharType="begin"/>
          </w:r>
          <w:r>
            <w:instrText xml:space="preserve"> HYPERLINK \l _Toc6559 </w:instrText>
          </w:r>
          <w:r>
            <w:fldChar w:fldCharType="separate"/>
          </w:r>
          <w:r>
            <w:rPr>
              <w:rFonts w:ascii="Times New Roman" w:hAnsi="Times New Roman" w:eastAsia="黑体"/>
              <w:i w:val="0"/>
            </w:rPr>
            <w:t>四、主要难点与现实约束</w:t>
          </w:r>
          <w:r>
            <w:tab/>
          </w:r>
          <w:r>
            <w:fldChar w:fldCharType="begin"/>
          </w:r>
          <w:r>
            <w:instrText xml:space="preserve"> PAGEREF _Toc6559 \h </w:instrText>
          </w:r>
          <w:r>
            <w:fldChar w:fldCharType="separate"/>
          </w:r>
          <w:r>
            <w:t>3</w:t>
          </w:r>
          <w:r>
            <w:fldChar w:fldCharType="end"/>
          </w:r>
          <w:r>
            <w:fldChar w:fldCharType="end"/>
          </w:r>
        </w:p>
        <w:p w14:paraId="49161A33">
          <w:pPr>
            <w:pStyle w:val="26"/>
            <w:tabs>
              <w:tab w:val="right" w:leader="dot" w:pos="9072"/>
            </w:tabs>
          </w:pPr>
          <w:r>
            <w:fldChar w:fldCharType="begin"/>
          </w:r>
          <w:r>
            <w:instrText xml:space="preserve"> HYPERLINK \l _Toc22172 </w:instrText>
          </w:r>
          <w:r>
            <w:fldChar w:fldCharType="separate"/>
          </w:r>
          <w:r>
            <w:rPr>
              <w:rFonts w:ascii="Times New Roman" w:hAnsi="Times New Roman" w:eastAsia="黑体"/>
              <w:i w:val="0"/>
            </w:rPr>
            <w:t>五、推动高质量发展的实践路径</w:t>
          </w:r>
          <w:r>
            <w:tab/>
          </w:r>
          <w:r>
            <w:fldChar w:fldCharType="begin"/>
          </w:r>
          <w:r>
            <w:instrText xml:space="preserve"> PAGEREF _Toc22172 \h </w:instrText>
          </w:r>
          <w:r>
            <w:fldChar w:fldCharType="separate"/>
          </w:r>
          <w:r>
            <w:t>4</w:t>
          </w:r>
          <w:r>
            <w:fldChar w:fldCharType="end"/>
          </w:r>
          <w:r>
            <w:fldChar w:fldCharType="end"/>
          </w:r>
        </w:p>
        <w:p w14:paraId="04DFBAA4">
          <w:pPr>
            <w:pStyle w:val="26"/>
            <w:tabs>
              <w:tab w:val="right" w:leader="dot" w:pos="9072"/>
            </w:tabs>
          </w:pPr>
          <w:r>
            <w:fldChar w:fldCharType="begin"/>
          </w:r>
          <w:r>
            <w:instrText xml:space="preserve"> HYPERLINK \l _Toc12919 </w:instrText>
          </w:r>
          <w:r>
            <w:fldChar w:fldCharType="separate"/>
          </w:r>
          <w:r>
            <w:rPr>
              <w:rFonts w:ascii="Times New Roman" w:hAnsi="Times New Roman" w:eastAsia="黑体"/>
              <w:i w:val="0"/>
            </w:rPr>
            <w:t>六、结论</w:t>
          </w:r>
          <w:r>
            <w:tab/>
          </w:r>
          <w:r>
            <w:fldChar w:fldCharType="begin"/>
          </w:r>
          <w:r>
            <w:instrText xml:space="preserve"> PAGEREF _Toc12919 \h </w:instrText>
          </w:r>
          <w:r>
            <w:fldChar w:fldCharType="separate"/>
          </w:r>
          <w:r>
            <w:t>5</w:t>
          </w:r>
          <w:r>
            <w:fldChar w:fldCharType="end"/>
          </w:r>
          <w:r>
            <w:fldChar w:fldCharType="end"/>
          </w:r>
        </w:p>
        <w:p w14:paraId="0C195C62">
          <w:pPr>
            <w:pStyle w:val="26"/>
            <w:tabs>
              <w:tab w:val="right" w:leader="dot" w:pos="9072"/>
            </w:tabs>
            <w:rPr>
              <w:rFonts w:ascii="Times New Roman" w:hAnsi="Times New Roman" w:eastAsia="宋体" w:cstheme="minorBidi"/>
              <w:sz w:val="24"/>
              <w:szCs w:val="22"/>
              <w:lang w:val="en-US" w:eastAsia="en-US" w:bidi="ar-SA"/>
            </w:rPr>
          </w:pPr>
          <w:r>
            <w:fldChar w:fldCharType="begin"/>
          </w:r>
          <w:r>
            <w:instrText xml:space="preserve"> HYPERLINK \l _Toc2527 </w:instrText>
          </w:r>
          <w:r>
            <w:fldChar w:fldCharType="separate"/>
          </w:r>
          <w:r>
            <w:rPr>
              <w:rFonts w:ascii="Times New Roman" w:hAnsi="Times New Roman" w:eastAsia="宋体"/>
              <w:i w:val="0"/>
            </w:rPr>
            <w:t>参考文献</w:t>
          </w:r>
          <w:r>
            <w:tab/>
          </w:r>
          <w:r>
            <w:fldChar w:fldCharType="begin"/>
          </w:r>
          <w:r>
            <w:instrText xml:space="preserve"> PAGEREF _Toc2527 \h </w:instrText>
          </w:r>
          <w:r>
            <w:fldChar w:fldCharType="separate"/>
          </w:r>
          <w:r>
            <w:t>6</w:t>
          </w:r>
          <w:r>
            <w:fldChar w:fldCharType="end"/>
          </w:r>
          <w:r>
            <w:fldChar w:fldCharType="end"/>
          </w:r>
          <w:r>
            <w:fldChar w:fldCharType="end"/>
          </w:r>
        </w:p>
      </w:sdtContent>
    </w:sdt>
    <w:p w14:paraId="6F163E51">
      <w:pPr>
        <w:rPr>
          <w:rFonts w:ascii="Times New Roman" w:hAnsi="Times New Roman" w:eastAsia="宋体" w:cstheme="minorBidi"/>
          <w:sz w:val="24"/>
          <w:szCs w:val="22"/>
          <w:lang w:val="en-US" w:eastAsia="en-US" w:bidi="ar-SA"/>
        </w:rPr>
      </w:pPr>
    </w:p>
    <w:p w14:paraId="17FE4360">
      <w:pPr>
        <w:pStyle w:val="3"/>
        <w:keepNext/>
        <w:keepLines/>
        <w:pageBreakBefore w:val="0"/>
        <w:widowControl/>
        <w:kinsoku/>
        <w:wordWrap/>
        <w:overflowPunct/>
        <w:topLinePunct w:val="0"/>
        <w:autoSpaceDE/>
        <w:autoSpaceDN/>
        <w:bidi w:val="0"/>
        <w:adjustRightInd/>
        <w:snapToGrid/>
        <w:spacing w:before="200" w:after="120"/>
        <w:ind w:firstLineChars="0"/>
        <w:textAlignment w:val="auto"/>
        <w:rPr>
          <w:rFonts w:ascii="Times New Roman" w:hAnsi="Times New Roman" w:eastAsia="黑体"/>
          <w:b/>
          <w:i w:val="0"/>
          <w:sz w:val="32"/>
          <w:u w:val="none"/>
        </w:rPr>
        <w:sectPr>
          <w:headerReference r:id="rId5" w:type="default"/>
          <w:pgSz w:w="11906" w:h="16838"/>
          <w:pgMar w:top="1417" w:right="1417" w:bottom="1417" w:left="1417" w:header="850" w:footer="992" w:gutter="0"/>
          <w:cols w:space="720" w:num="1"/>
          <w:titlePg/>
          <w:docGrid w:linePitch="360" w:charSpace="0"/>
        </w:sectPr>
      </w:pPr>
      <w:bookmarkStart w:id="2" w:name="_Toc2086"/>
      <w:bookmarkStart w:id="9" w:name="_GoBack"/>
      <w:bookmarkEnd w:id="9"/>
    </w:p>
    <w:p w14:paraId="051E2629">
      <w:pPr>
        <w:pStyle w:val="3"/>
        <w:keepNext/>
        <w:keepLines/>
        <w:pageBreakBefore w:val="0"/>
        <w:widowControl/>
        <w:kinsoku/>
        <w:wordWrap/>
        <w:overflowPunct/>
        <w:topLinePunct w:val="0"/>
        <w:autoSpaceDE/>
        <w:autoSpaceDN/>
        <w:bidi w:val="0"/>
        <w:adjustRightInd/>
        <w:snapToGrid/>
        <w:spacing w:before="200" w:after="120"/>
        <w:ind w:firstLineChars="0"/>
        <w:textAlignment w:val="auto"/>
      </w:pPr>
      <w:r>
        <w:rPr>
          <w:rFonts w:ascii="Times New Roman" w:hAnsi="Times New Roman" w:eastAsia="黑体"/>
          <w:b/>
          <w:i w:val="0"/>
          <w:sz w:val="32"/>
          <w:u w:val="none"/>
        </w:rPr>
        <w:t>一、引言</w:t>
      </w:r>
      <w:bookmarkEnd w:id="2"/>
    </w:p>
    <w:p w14:paraId="5EF4DEC4">
      <w:pPr>
        <w:keepNext w:val="0"/>
        <w:keepLines w:val="0"/>
        <w:pageBreakBefore w:val="0"/>
        <w:spacing w:before="0" w:after="0" w:line="360" w:lineRule="auto"/>
        <w:ind w:firstLineChars="200"/>
        <w:jc w:val="both"/>
      </w:pPr>
      <w:r>
        <w:rPr>
          <w:rFonts w:ascii="Times New Roman" w:hAnsi="Times New Roman" w:eastAsia="宋体"/>
          <w:b w:val="0"/>
          <w:i w:val="0"/>
          <w:sz w:val="24"/>
          <w:u w:val="none"/>
        </w:rPr>
        <w:t>党的二十大报告将高质量发展明确为全面建设社会主义现代化国家的首要任务</w:t>
      </w:r>
      <w:r>
        <w:rPr>
          <w:rFonts w:ascii="Times New Roman" w:hAnsi="Times New Roman" w:eastAsia="宋体"/>
          <w:b w:val="0"/>
          <w:i w:val="0"/>
          <w:sz w:val="24"/>
          <w:u w:val="none"/>
          <w:vertAlign w:val="superscript"/>
        </w:rPr>
        <w:t>[1]</w:t>
      </w:r>
      <w:r>
        <w:rPr>
          <w:rFonts w:ascii="Times New Roman" w:hAnsi="Times New Roman" w:eastAsia="宋体"/>
          <w:b w:val="0"/>
          <w:i w:val="0"/>
          <w:sz w:val="24"/>
          <w:u w:val="none"/>
        </w:rPr>
        <w:t>。这一判断背后，是中国经济发展阶段和约束条件的深刻变化。过去相当长时间里，中国经济依靠劳动力、土地、资本投入和外需扩张形成了较强的增长能力，但随着人口结构变化、资源环境约束趋紧、国际产业竞争加剧，单纯依靠要素规模扩张已经难以支撑长期增长。新时代中国经济的关键问题，不再只是“能不能增长”，更是“靠什么增长”“增长成果如何分配”“增长过程是否安全可持续”。</w:t>
      </w:r>
    </w:p>
    <w:p w14:paraId="1E7C7E17">
      <w:pPr>
        <w:keepNext w:val="0"/>
        <w:keepLines w:val="0"/>
        <w:pageBreakBefore w:val="0"/>
        <w:spacing w:before="0" w:after="0" w:line="360" w:lineRule="auto"/>
        <w:ind w:firstLineChars="200"/>
        <w:jc w:val="both"/>
      </w:pPr>
      <w:r>
        <w:rPr>
          <w:rFonts w:ascii="Times New Roman" w:hAnsi="Times New Roman" w:eastAsia="宋体"/>
          <w:b w:val="0"/>
          <w:i w:val="0"/>
          <w:sz w:val="24"/>
          <w:u w:val="none"/>
        </w:rPr>
        <w:t>新质生产力正是在这样的背景下被提出并不断丰富的。它强调以科技创新推动产业创新，摆脱传统增长路径中的低成本竞争和粗放扩张，更重视劳动者素质、劳动资料革新、劳动对象拓展以及制度环境的共同升级</w:t>
      </w:r>
      <w:r>
        <w:rPr>
          <w:rFonts w:ascii="Times New Roman" w:hAnsi="Times New Roman" w:eastAsia="宋体"/>
          <w:b w:val="0"/>
          <w:i w:val="0"/>
          <w:sz w:val="24"/>
          <w:u w:val="none"/>
          <w:vertAlign w:val="superscript"/>
        </w:rPr>
        <w:t>[2]</w:t>
      </w:r>
      <w:r>
        <w:rPr>
          <w:rFonts w:ascii="Times New Roman" w:hAnsi="Times New Roman" w:eastAsia="宋体"/>
          <w:b w:val="0"/>
          <w:i w:val="0"/>
          <w:sz w:val="24"/>
          <w:u w:val="none"/>
        </w:rPr>
        <w:t>。从课程“新时代中国经济”的视角看，新质生产力不是一个孤立的科技概念，而是理解中国式现代化经济基础的重要切入点。它既回应了建设现代化产业体系的现实任务，也回应了外部技术封锁、国内有效需求不足、区域发展差异和绿色低碳转型等复杂挑战。</w:t>
      </w:r>
    </w:p>
    <w:p w14:paraId="1A5465AF">
      <w:pPr>
        <w:keepNext w:val="0"/>
        <w:keepLines w:val="0"/>
        <w:pageBreakBefore w:val="0"/>
        <w:spacing w:before="0" w:after="0" w:line="360" w:lineRule="auto"/>
        <w:ind w:firstLineChars="200"/>
        <w:jc w:val="both"/>
      </w:pPr>
      <w:r>
        <w:rPr>
          <w:rFonts w:ascii="Times New Roman" w:hAnsi="Times New Roman" w:eastAsia="宋体"/>
          <w:b w:val="0"/>
          <w:i w:val="0"/>
          <w:sz w:val="24"/>
          <w:u w:val="none"/>
        </w:rPr>
        <w:t>本文选择“新质生产力驱动新时代中国经济高质量发展”作为主题，主要基于两点考虑：一是该主题能够贯通新发展理念、供给侧结构性改革、创新驱动发展、数字经济和共同富裕等课程核心内容；二是2025年中国经济数据显示，装备制造业、高技术制造业、研发投入、新能源汽车等领域仍保持较快增长，这为讨论新质生产力提供了较清晰的现实材料。文章在文献与政策述评的基础上，进一步分析其形成逻辑、困难约束和政策路径。</w:t>
      </w:r>
    </w:p>
    <w:p w14:paraId="45F3358E">
      <w:pPr>
        <w:pStyle w:val="3"/>
        <w:keepNext/>
        <w:keepLines/>
        <w:pageBreakBefore w:val="0"/>
        <w:widowControl/>
        <w:kinsoku/>
        <w:wordWrap/>
        <w:overflowPunct/>
        <w:topLinePunct w:val="0"/>
        <w:autoSpaceDE/>
        <w:autoSpaceDN/>
        <w:bidi w:val="0"/>
        <w:adjustRightInd/>
        <w:snapToGrid/>
        <w:spacing w:before="200" w:after="120"/>
        <w:ind w:firstLineChars="0"/>
        <w:textAlignment w:val="auto"/>
      </w:pPr>
      <w:bookmarkStart w:id="3" w:name="_Toc13241"/>
      <w:r>
        <w:rPr>
          <w:rFonts w:ascii="Times New Roman" w:hAnsi="Times New Roman" w:eastAsia="黑体"/>
          <w:b/>
          <w:i w:val="0"/>
          <w:sz w:val="32"/>
          <w:u w:val="none"/>
        </w:rPr>
        <w:t>二、文献与政策述评</w:t>
      </w:r>
      <w:bookmarkEnd w:id="3"/>
    </w:p>
    <w:p w14:paraId="6C06A168">
      <w:pPr>
        <w:keepNext w:val="0"/>
        <w:keepLines w:val="0"/>
        <w:pageBreakBefore w:val="0"/>
        <w:spacing w:before="0" w:after="0" w:line="360" w:lineRule="auto"/>
        <w:ind w:firstLineChars="200"/>
        <w:jc w:val="both"/>
      </w:pPr>
      <w:r>
        <w:rPr>
          <w:rFonts w:ascii="Times New Roman" w:hAnsi="Times New Roman" w:eastAsia="宋体"/>
          <w:b w:val="0"/>
          <w:i w:val="0"/>
          <w:sz w:val="24"/>
          <w:u w:val="none"/>
        </w:rPr>
        <w:t>关于高质量发展，现有研究大体形成了三类认识。第一类从发展阶段出发，认为高质量发展是中国经济从数量扩张转向质量效率提升后的必然选择，核心在于提高全要素生产率、产业链韧性和资源配置效率。第二类从新发展理念出发，强调创新、协调、绿色、开放、共享不是并列口号，而是评价经济运行质量的一组约束条件。第三类从宏观治理出发，认为高质量发展需要处理好政府和市场、供给和需求、发展和安全、效率和公平之间的关系。这些研究共同说明，高质量发展不是增速降低后的被动说法，而是发展目标函数的变化。</w:t>
      </w:r>
    </w:p>
    <w:p w14:paraId="671B7B02">
      <w:pPr>
        <w:keepNext w:val="0"/>
        <w:keepLines w:val="0"/>
        <w:pageBreakBefore w:val="0"/>
        <w:spacing w:before="0" w:after="0" w:line="360" w:lineRule="auto"/>
        <w:ind w:firstLineChars="200"/>
        <w:jc w:val="both"/>
      </w:pPr>
      <w:r>
        <w:rPr>
          <w:rFonts w:ascii="Times New Roman" w:hAnsi="Times New Roman" w:eastAsia="宋体"/>
          <w:b w:val="0"/>
          <w:i w:val="0"/>
          <w:sz w:val="24"/>
          <w:u w:val="none"/>
        </w:rPr>
        <w:t>关于新质生产力，政策文本和学术讨论都把科技创新放在核心位置。习近平总书记在相关论述中指出，发展新质生产力是推动高质量发展的内在要求和重要着力点</w:t>
      </w:r>
      <w:r>
        <w:rPr>
          <w:rFonts w:ascii="Times New Roman" w:hAnsi="Times New Roman" w:eastAsia="宋体"/>
          <w:b w:val="0"/>
          <w:i w:val="0"/>
          <w:sz w:val="24"/>
          <w:u w:val="none"/>
          <w:vertAlign w:val="superscript"/>
        </w:rPr>
        <w:t>[2]</w:t>
      </w:r>
      <w:r>
        <w:rPr>
          <w:rFonts w:ascii="Times New Roman" w:hAnsi="Times New Roman" w:eastAsia="宋体"/>
          <w:b w:val="0"/>
          <w:i w:val="0"/>
          <w:sz w:val="24"/>
          <w:u w:val="none"/>
        </w:rPr>
        <w:t>。这一论断把生产力理论与中国当前经济转型联系起来：一方面，人工智能、先进制造、新能源、新材料、生物技术等领域不断改变生产函数；另一方面，只有把技术突破嵌入产业链、供应链和市场需求，科技成果才会成为现实生产力。也就是说，新质生产力的“新”，不仅是新技术、新产业，也包括新的组织方式、新的制度条件和新的发展评价标准。</w:t>
      </w:r>
    </w:p>
    <w:p w14:paraId="54AD6850">
      <w:pPr>
        <w:keepNext w:val="0"/>
        <w:keepLines w:val="0"/>
        <w:pageBreakBefore w:val="0"/>
        <w:spacing w:before="0" w:after="0" w:line="360" w:lineRule="auto"/>
        <w:ind w:firstLineChars="200"/>
        <w:jc w:val="both"/>
      </w:pPr>
      <w:r>
        <w:rPr>
          <w:rFonts w:ascii="Times New Roman" w:hAnsi="Times New Roman" w:eastAsia="宋体"/>
          <w:b w:val="0"/>
          <w:i w:val="0"/>
          <w:sz w:val="24"/>
          <w:u w:val="none"/>
        </w:rPr>
        <w:t>从文献综述看，现有研究的共同贡献是明确了新质生产力和高质量发展之间的关系：科技创新是源头，现代化产业体系是载体，绿色转型和数字化转型是方向，制度改革是保障。但也存在一些不足。第一，部分讨论容易把新质生产力等同于高技术产业，忽视传统产业改造升级仍是中国经济的基本盘。第二，一些文章重供给侧技术突破，轻需求侧消费升级和收入分配对产业转型的牵引作用。第三，对区域差异关注不足，不同地区的产业基础、人才结构和财政能力差别较大，不能用同一种政策模板推进。本文后文的分析将尽量把这些问题纳入同一框架。</w:t>
      </w:r>
    </w:p>
    <w:p w14:paraId="047BAC0C">
      <w:pPr>
        <w:pStyle w:val="3"/>
        <w:keepNext/>
        <w:keepLines/>
        <w:pageBreakBefore w:val="0"/>
        <w:widowControl/>
        <w:kinsoku/>
        <w:wordWrap/>
        <w:overflowPunct/>
        <w:topLinePunct w:val="0"/>
        <w:autoSpaceDE/>
        <w:autoSpaceDN/>
        <w:bidi w:val="0"/>
        <w:adjustRightInd/>
        <w:snapToGrid/>
        <w:spacing w:before="200" w:after="120"/>
        <w:ind w:firstLineChars="0"/>
        <w:textAlignment w:val="auto"/>
      </w:pPr>
      <w:bookmarkStart w:id="4" w:name="_Toc10814"/>
      <w:r>
        <w:rPr>
          <w:rFonts w:ascii="Times New Roman" w:hAnsi="Times New Roman" w:eastAsia="黑体"/>
          <w:b/>
          <w:i w:val="0"/>
          <w:sz w:val="32"/>
          <w:u w:val="none"/>
        </w:rPr>
        <w:t>三、新质生产力形成的现实基础</w:t>
      </w:r>
      <w:bookmarkEnd w:id="4"/>
    </w:p>
    <w:p w14:paraId="5E6CE84D">
      <w:pPr>
        <w:keepNext w:val="0"/>
        <w:keepLines w:val="0"/>
        <w:pageBreakBefore w:val="0"/>
        <w:spacing w:before="0" w:after="0" w:line="360" w:lineRule="auto"/>
        <w:ind w:firstLineChars="200"/>
        <w:jc w:val="both"/>
      </w:pPr>
      <w:r>
        <w:rPr>
          <w:rFonts w:ascii="Times New Roman" w:hAnsi="Times New Roman" w:eastAsia="宋体"/>
          <w:b w:val="0"/>
          <w:i w:val="0"/>
          <w:sz w:val="24"/>
          <w:u w:val="none"/>
        </w:rPr>
        <w:t>从2025年的官方统计看，中国经济仍保持较强韧性。国家统计局数据显示，2025年国内生产总值为1401879亿元，按不变价格计算比上年增长5.0%</w:t>
      </w:r>
      <w:r>
        <w:rPr>
          <w:rFonts w:ascii="Times New Roman" w:hAnsi="Times New Roman" w:eastAsia="宋体"/>
          <w:b w:val="0"/>
          <w:i w:val="0"/>
          <w:sz w:val="24"/>
          <w:u w:val="none"/>
          <w:vertAlign w:val="superscript"/>
        </w:rPr>
        <w:t>[3]</w:t>
      </w:r>
      <w:r>
        <w:rPr>
          <w:rFonts w:ascii="Times New Roman" w:hAnsi="Times New Roman" w:eastAsia="宋体"/>
          <w:b w:val="0"/>
          <w:i w:val="0"/>
          <w:sz w:val="24"/>
          <w:u w:val="none"/>
        </w:rPr>
        <w:t>。在总量继续扩大的同时，结构变化也比较明显。规模以上工业增加值比上年增长5.9%，其中装备制造业增加值增长9.2%，高技术制造业增加值增长9.4%，均明显快于规模以上工业整体增速</w:t>
      </w:r>
      <w:r>
        <w:rPr>
          <w:rFonts w:ascii="Times New Roman" w:hAnsi="Times New Roman" w:eastAsia="宋体"/>
          <w:b w:val="0"/>
          <w:i w:val="0"/>
          <w:sz w:val="24"/>
          <w:u w:val="none"/>
          <w:vertAlign w:val="superscript"/>
        </w:rPr>
        <w:t>[4]</w:t>
      </w:r>
      <w:r>
        <w:rPr>
          <w:rFonts w:ascii="Times New Roman" w:hAnsi="Times New Roman" w:eastAsia="宋体"/>
          <w:b w:val="0"/>
          <w:i w:val="0"/>
          <w:sz w:val="24"/>
          <w:u w:val="none"/>
        </w:rPr>
        <w:t>。这些数据说明，中国制造业并没有简单停留在成本优势上，而是在向装备化、高技术化和数字化方向升级。</w:t>
      </w:r>
    </w:p>
    <w:p w14:paraId="0712315F">
      <w:pPr>
        <w:keepNext w:val="0"/>
        <w:keepLines w:val="0"/>
        <w:pageBreakBefore w:val="0"/>
        <w:spacing w:before="0" w:after="0" w:line="360" w:lineRule="auto"/>
        <w:ind w:firstLineChars="200"/>
        <w:jc w:val="both"/>
      </w:pPr>
      <w:r>
        <w:rPr>
          <w:rFonts w:ascii="Times New Roman" w:hAnsi="Times New Roman" w:eastAsia="宋体"/>
          <w:b w:val="0"/>
          <w:i w:val="0"/>
          <w:sz w:val="24"/>
          <w:u w:val="none"/>
        </w:rPr>
        <w:t>创新投入也提供了支撑。2025年全国研究与试验发展经费支出39262亿元，比上年增长8.1%，与国内生产总值之比为2.80%</w:t>
      </w:r>
      <w:r>
        <w:rPr>
          <w:rFonts w:ascii="Times New Roman" w:hAnsi="Times New Roman" w:eastAsia="宋体"/>
          <w:b w:val="0"/>
          <w:i w:val="0"/>
          <w:sz w:val="24"/>
          <w:u w:val="none"/>
          <w:vertAlign w:val="superscript"/>
        </w:rPr>
        <w:t>[3]</w:t>
      </w:r>
      <w:r>
        <w:rPr>
          <w:rFonts w:ascii="Times New Roman" w:hAnsi="Times New Roman" w:eastAsia="宋体"/>
          <w:b w:val="0"/>
          <w:i w:val="0"/>
          <w:sz w:val="24"/>
          <w:u w:val="none"/>
        </w:rPr>
        <w:t>。研发投入强度提高，意味着技术创新正在从“补短板”走向“塑优势”。新能源汽车产量达到1652.4万辆，比上年增长25.1%；工业机器人、3D打印设备等产品产量也保持较快增长</w:t>
      </w:r>
      <w:r>
        <w:rPr>
          <w:rFonts w:ascii="Times New Roman" w:hAnsi="Times New Roman" w:eastAsia="宋体"/>
          <w:b w:val="0"/>
          <w:i w:val="0"/>
          <w:sz w:val="24"/>
          <w:u w:val="none"/>
          <w:vertAlign w:val="superscript"/>
        </w:rPr>
        <w:t>[3][4]</w:t>
      </w:r>
      <w:r>
        <w:rPr>
          <w:rFonts w:ascii="Times New Roman" w:hAnsi="Times New Roman" w:eastAsia="宋体"/>
          <w:b w:val="0"/>
          <w:i w:val="0"/>
          <w:sz w:val="24"/>
          <w:u w:val="none"/>
        </w:rPr>
        <w:t>。这些领域往往同时涉及芯片、材料、软件、能源、装备和场景应用，正体现了新质生产力不是单点突破，而是产业链协同升级。</w:t>
      </w:r>
    </w:p>
    <w:p w14:paraId="311DFDDF">
      <w:pPr>
        <w:keepNext w:val="0"/>
        <w:keepLines w:val="0"/>
        <w:pageBreakBefore w:val="0"/>
        <w:spacing w:before="0" w:after="0" w:line="360" w:lineRule="auto"/>
        <w:ind w:firstLineChars="200"/>
        <w:jc w:val="both"/>
      </w:pPr>
      <w:r>
        <w:rPr>
          <w:rFonts w:ascii="Times New Roman" w:hAnsi="Times New Roman" w:eastAsia="宋体"/>
          <w:b w:val="0"/>
          <w:i w:val="0"/>
          <w:sz w:val="24"/>
          <w:u w:val="none"/>
        </w:rPr>
        <w:t>表1概括了若干与新质生产力有关的2025年指标。需要说明的是，表中数据并不意味着中国经济转型已经完成，它只能说明新动能正在成长。真正的考验在于，这些增长能否转化为企业利润、劳动者收入、产业链安全和绿色效率的同步改善。</w:t>
      </w:r>
    </w:p>
    <w:p w14:paraId="55613BB4">
      <w:pPr>
        <w:keepNext w:val="0"/>
        <w:keepLines w:val="0"/>
        <w:pageBreakBefore w:val="0"/>
        <w:spacing w:before="0" w:after="0" w:line="240" w:lineRule="auto"/>
        <w:ind w:firstLine="0" w:firstLineChars="0"/>
        <w:jc w:val="center"/>
      </w:pPr>
      <w:r>
        <w:rPr>
          <w:rFonts w:ascii="Times New Roman" w:hAnsi="Times New Roman" w:eastAsia="宋体"/>
          <w:b w:val="0"/>
          <w:i w:val="0"/>
          <w:sz w:val="21"/>
          <w:u w:val="none"/>
        </w:rPr>
        <w:t>表1 2025年中国经济中与新质生产力相关的若干指标</w:t>
      </w:r>
    </w:p>
    <w:tbl>
      <w:tblPr>
        <w:tblStyle w:val="34"/>
        <w:tblW w:w="0" w:type="auto"/>
        <w:jc w:val="center"/>
        <w:tblBorders>
          <w:top w:val="single" w:color="000000" w:sz="12" w:space="0"/>
          <w:left w:val="none" w:color="000000" w:sz="0" w:space="0"/>
          <w:bottom w:val="single" w:color="000000" w:sz="12" w:space="0"/>
          <w:right w:val="none" w:color="000000" w:sz="0" w:space="0"/>
          <w:insideH w:val="none" w:color="000000" w:sz="0" w:space="0"/>
          <w:insideV w:val="none" w:color="000000" w:sz="0" w:space="0"/>
        </w:tblBorders>
        <w:tblLayout w:type="autofit"/>
        <w:tblCellMar>
          <w:top w:w="0" w:type="dxa"/>
          <w:left w:w="108" w:type="dxa"/>
          <w:bottom w:w="0" w:type="dxa"/>
          <w:right w:w="108" w:type="dxa"/>
        </w:tblCellMar>
      </w:tblPr>
      <w:tblGrid>
        <w:gridCol w:w="1928"/>
        <w:gridCol w:w="2835"/>
        <w:gridCol w:w="3969"/>
      </w:tblGrid>
      <w:tr w14:paraId="78DBD5DD">
        <w:tblPrEx>
          <w:tblBorders>
            <w:top w:val="single" w:color="000000" w:sz="12" w:space="0"/>
            <w:left w:val="none" w:color="000000" w:sz="0" w:space="0"/>
            <w:bottom w:val="single" w:color="000000" w:sz="12" w:space="0"/>
            <w:right w:val="none" w:color="000000" w:sz="0" w:space="0"/>
            <w:insideH w:val="none" w:color="000000" w:sz="0" w:space="0"/>
            <w:insideV w:val="none" w:color="000000" w:sz="0" w:space="0"/>
          </w:tblBorders>
          <w:tblCellMar>
            <w:top w:w="0" w:type="dxa"/>
            <w:left w:w="108" w:type="dxa"/>
            <w:bottom w:w="0" w:type="dxa"/>
            <w:right w:w="108" w:type="dxa"/>
          </w:tblCellMar>
        </w:tblPrEx>
        <w:trPr>
          <w:jc w:val="center"/>
        </w:trPr>
        <w:tc>
          <w:tcPr>
            <w:tcW w:w="1928" w:type="dxa"/>
            <w:tcBorders>
              <w:bottom w:val="single" w:color="000000" w:sz="4" w:space="0"/>
            </w:tcBorders>
            <w:vAlign w:val="center"/>
          </w:tcPr>
          <w:p w14:paraId="044428AD">
            <w:pPr>
              <w:spacing w:before="40" w:after="40"/>
              <w:jc w:val="center"/>
            </w:pPr>
            <w:r>
              <w:rPr>
                <w:rFonts w:ascii="Times New Roman" w:hAnsi="Times New Roman" w:eastAsia="宋体"/>
                <w:b/>
                <w:i w:val="0"/>
                <w:sz w:val="19"/>
                <w:u w:val="none"/>
              </w:rPr>
              <w:t>指标</w:t>
            </w:r>
          </w:p>
        </w:tc>
        <w:tc>
          <w:tcPr>
            <w:tcW w:w="2835" w:type="dxa"/>
            <w:tcBorders>
              <w:bottom w:val="single" w:color="000000" w:sz="4" w:space="0"/>
            </w:tcBorders>
            <w:vAlign w:val="center"/>
          </w:tcPr>
          <w:p w14:paraId="7A8845E3">
            <w:pPr>
              <w:spacing w:before="40" w:after="40"/>
              <w:jc w:val="center"/>
            </w:pPr>
            <w:r>
              <w:rPr>
                <w:rFonts w:ascii="Times New Roman" w:hAnsi="Times New Roman" w:eastAsia="宋体"/>
                <w:b/>
                <w:i w:val="0"/>
                <w:sz w:val="19"/>
                <w:u w:val="none"/>
              </w:rPr>
              <w:t>2025年数据</w:t>
            </w:r>
          </w:p>
        </w:tc>
        <w:tc>
          <w:tcPr>
            <w:tcW w:w="3969" w:type="dxa"/>
            <w:tcBorders>
              <w:bottom w:val="single" w:color="000000" w:sz="4" w:space="0"/>
            </w:tcBorders>
            <w:vAlign w:val="center"/>
          </w:tcPr>
          <w:p w14:paraId="6A8794A3">
            <w:pPr>
              <w:spacing w:before="40" w:after="40"/>
              <w:jc w:val="center"/>
            </w:pPr>
            <w:r>
              <w:rPr>
                <w:rFonts w:ascii="Times New Roman" w:hAnsi="Times New Roman" w:eastAsia="宋体"/>
                <w:b/>
                <w:i w:val="0"/>
                <w:sz w:val="19"/>
                <w:u w:val="none"/>
              </w:rPr>
              <w:t>与新质生产力的关系</w:t>
            </w:r>
          </w:p>
        </w:tc>
      </w:tr>
      <w:tr w14:paraId="597606EA">
        <w:tblPrEx>
          <w:tblBorders>
            <w:top w:val="single" w:color="000000" w:sz="12" w:space="0"/>
            <w:left w:val="none" w:color="000000" w:sz="0" w:space="0"/>
            <w:bottom w:val="single" w:color="000000" w:sz="12" w:space="0"/>
            <w:right w:val="none" w:color="000000" w:sz="0" w:space="0"/>
            <w:insideH w:val="none" w:color="000000" w:sz="0" w:space="0"/>
            <w:insideV w:val="none" w:color="000000" w:sz="0" w:space="0"/>
          </w:tblBorders>
          <w:tblCellMar>
            <w:top w:w="0" w:type="dxa"/>
            <w:left w:w="108" w:type="dxa"/>
            <w:bottom w:w="0" w:type="dxa"/>
            <w:right w:w="108" w:type="dxa"/>
          </w:tblCellMar>
        </w:tblPrEx>
        <w:trPr>
          <w:jc w:val="center"/>
        </w:trPr>
        <w:tc>
          <w:tcPr>
            <w:tcW w:w="1928" w:type="dxa"/>
            <w:vAlign w:val="center"/>
          </w:tcPr>
          <w:p w14:paraId="76F6DB80">
            <w:pPr>
              <w:spacing w:before="40" w:after="40"/>
              <w:jc w:val="center"/>
            </w:pPr>
            <w:r>
              <w:rPr>
                <w:rFonts w:ascii="Times New Roman" w:hAnsi="Times New Roman" w:eastAsia="宋体"/>
                <w:b w:val="0"/>
                <w:i w:val="0"/>
                <w:sz w:val="19"/>
                <w:u w:val="none"/>
              </w:rPr>
              <w:t>国内生产总值</w:t>
            </w:r>
          </w:p>
        </w:tc>
        <w:tc>
          <w:tcPr>
            <w:tcW w:w="2835" w:type="dxa"/>
            <w:vAlign w:val="center"/>
          </w:tcPr>
          <w:p w14:paraId="3CF9DFF0">
            <w:pPr>
              <w:spacing w:before="40" w:after="40"/>
              <w:jc w:val="center"/>
            </w:pPr>
            <w:r>
              <w:rPr>
                <w:rFonts w:ascii="Times New Roman" w:hAnsi="Times New Roman" w:eastAsia="宋体"/>
                <w:b w:val="0"/>
                <w:i w:val="0"/>
                <w:sz w:val="19"/>
                <w:u w:val="none"/>
              </w:rPr>
              <w:t>1401879亿元，增长5.0%</w:t>
            </w:r>
          </w:p>
        </w:tc>
        <w:tc>
          <w:tcPr>
            <w:tcW w:w="3969" w:type="dxa"/>
            <w:vAlign w:val="center"/>
          </w:tcPr>
          <w:p w14:paraId="3E04B6E1">
            <w:pPr>
              <w:spacing w:before="40" w:after="40"/>
              <w:jc w:val="center"/>
            </w:pPr>
            <w:r>
              <w:rPr>
                <w:rFonts w:ascii="Times New Roman" w:hAnsi="Times New Roman" w:eastAsia="宋体"/>
                <w:b w:val="0"/>
                <w:i w:val="0"/>
                <w:sz w:val="19"/>
                <w:u w:val="none"/>
              </w:rPr>
              <w:t>经济总量继续扩大，为结构转型提供基础</w:t>
            </w:r>
          </w:p>
        </w:tc>
      </w:tr>
      <w:tr w14:paraId="7D1A630B">
        <w:tblPrEx>
          <w:tblBorders>
            <w:top w:val="single" w:color="000000" w:sz="12" w:space="0"/>
            <w:left w:val="none" w:color="000000" w:sz="0" w:space="0"/>
            <w:bottom w:val="single" w:color="000000" w:sz="12" w:space="0"/>
            <w:right w:val="none" w:color="000000" w:sz="0" w:space="0"/>
            <w:insideH w:val="none" w:color="000000" w:sz="0" w:space="0"/>
            <w:insideV w:val="none" w:color="000000" w:sz="0" w:space="0"/>
          </w:tblBorders>
        </w:tblPrEx>
        <w:trPr>
          <w:jc w:val="center"/>
        </w:trPr>
        <w:tc>
          <w:tcPr>
            <w:tcW w:w="1928" w:type="dxa"/>
            <w:vAlign w:val="center"/>
          </w:tcPr>
          <w:p w14:paraId="0DFE11BC">
            <w:pPr>
              <w:spacing w:before="40" w:after="40"/>
              <w:jc w:val="center"/>
            </w:pPr>
            <w:r>
              <w:rPr>
                <w:rFonts w:ascii="Times New Roman" w:hAnsi="Times New Roman" w:eastAsia="宋体"/>
                <w:b w:val="0"/>
                <w:i w:val="0"/>
                <w:sz w:val="19"/>
                <w:u w:val="none"/>
              </w:rPr>
              <w:t>装备制造业增加值</w:t>
            </w:r>
          </w:p>
        </w:tc>
        <w:tc>
          <w:tcPr>
            <w:tcW w:w="2835" w:type="dxa"/>
            <w:vAlign w:val="center"/>
          </w:tcPr>
          <w:p w14:paraId="4C141ACA">
            <w:pPr>
              <w:spacing w:before="40" w:after="40"/>
              <w:jc w:val="center"/>
            </w:pPr>
            <w:r>
              <w:rPr>
                <w:rFonts w:ascii="Times New Roman" w:hAnsi="Times New Roman" w:eastAsia="宋体"/>
                <w:b w:val="0"/>
                <w:i w:val="0"/>
                <w:sz w:val="19"/>
                <w:u w:val="none"/>
              </w:rPr>
              <w:t>增长9.2%，占规模以上工业36.8%</w:t>
            </w:r>
          </w:p>
        </w:tc>
        <w:tc>
          <w:tcPr>
            <w:tcW w:w="3969" w:type="dxa"/>
            <w:vAlign w:val="center"/>
          </w:tcPr>
          <w:p w14:paraId="0A216EE0">
            <w:pPr>
              <w:spacing w:before="40" w:after="40"/>
              <w:jc w:val="center"/>
            </w:pPr>
            <w:r>
              <w:rPr>
                <w:rFonts w:ascii="Times New Roman" w:hAnsi="Times New Roman" w:eastAsia="宋体"/>
                <w:b w:val="0"/>
                <w:i w:val="0"/>
                <w:sz w:val="19"/>
                <w:u w:val="none"/>
              </w:rPr>
              <w:t>先进制造业支撑现代化产业体系</w:t>
            </w:r>
          </w:p>
        </w:tc>
      </w:tr>
      <w:tr w14:paraId="27E5615F">
        <w:tblPrEx>
          <w:tblBorders>
            <w:top w:val="single" w:color="000000" w:sz="12" w:space="0"/>
            <w:left w:val="none" w:color="000000" w:sz="0" w:space="0"/>
            <w:bottom w:val="single" w:color="000000" w:sz="12" w:space="0"/>
            <w:right w:val="none" w:color="000000" w:sz="0" w:space="0"/>
            <w:insideH w:val="none" w:color="000000" w:sz="0" w:space="0"/>
            <w:insideV w:val="none" w:color="000000" w:sz="0" w:space="0"/>
          </w:tblBorders>
          <w:tblCellMar>
            <w:top w:w="0" w:type="dxa"/>
            <w:left w:w="108" w:type="dxa"/>
            <w:bottom w:w="0" w:type="dxa"/>
            <w:right w:w="108" w:type="dxa"/>
          </w:tblCellMar>
        </w:tblPrEx>
        <w:trPr>
          <w:jc w:val="center"/>
        </w:trPr>
        <w:tc>
          <w:tcPr>
            <w:tcW w:w="1928" w:type="dxa"/>
            <w:vAlign w:val="center"/>
          </w:tcPr>
          <w:p w14:paraId="72C60894">
            <w:pPr>
              <w:spacing w:before="40" w:after="40"/>
              <w:jc w:val="center"/>
            </w:pPr>
            <w:r>
              <w:rPr>
                <w:rFonts w:ascii="Times New Roman" w:hAnsi="Times New Roman" w:eastAsia="宋体"/>
                <w:b w:val="0"/>
                <w:i w:val="0"/>
                <w:sz w:val="19"/>
                <w:u w:val="none"/>
              </w:rPr>
              <w:t>高技术制造业增加值</w:t>
            </w:r>
          </w:p>
        </w:tc>
        <w:tc>
          <w:tcPr>
            <w:tcW w:w="2835" w:type="dxa"/>
            <w:vAlign w:val="center"/>
          </w:tcPr>
          <w:p w14:paraId="2B7B1EA7">
            <w:pPr>
              <w:spacing w:before="40" w:after="40"/>
              <w:jc w:val="center"/>
            </w:pPr>
            <w:r>
              <w:rPr>
                <w:rFonts w:ascii="Times New Roman" w:hAnsi="Times New Roman" w:eastAsia="宋体"/>
                <w:b w:val="0"/>
                <w:i w:val="0"/>
                <w:sz w:val="19"/>
                <w:u w:val="none"/>
              </w:rPr>
              <w:t>增长9.4%，占规模以上工业17.1%</w:t>
            </w:r>
          </w:p>
        </w:tc>
        <w:tc>
          <w:tcPr>
            <w:tcW w:w="3969" w:type="dxa"/>
            <w:vAlign w:val="center"/>
          </w:tcPr>
          <w:p w14:paraId="38444AC6">
            <w:pPr>
              <w:spacing w:before="40" w:after="40"/>
              <w:jc w:val="center"/>
            </w:pPr>
            <w:r>
              <w:rPr>
                <w:rFonts w:ascii="Times New Roman" w:hAnsi="Times New Roman" w:eastAsia="宋体"/>
                <w:b w:val="0"/>
                <w:i w:val="0"/>
                <w:sz w:val="19"/>
                <w:u w:val="none"/>
              </w:rPr>
              <w:t>技术密集型部门成长较快</w:t>
            </w:r>
          </w:p>
        </w:tc>
      </w:tr>
      <w:tr w14:paraId="378783F3">
        <w:tblPrEx>
          <w:tblBorders>
            <w:top w:val="single" w:color="000000" w:sz="12" w:space="0"/>
            <w:left w:val="none" w:color="000000" w:sz="0" w:space="0"/>
            <w:bottom w:val="single" w:color="000000" w:sz="12" w:space="0"/>
            <w:right w:val="none" w:color="000000" w:sz="0" w:space="0"/>
            <w:insideH w:val="none" w:color="000000" w:sz="0" w:space="0"/>
            <w:insideV w:val="none" w:color="000000" w:sz="0" w:space="0"/>
          </w:tblBorders>
          <w:tblCellMar>
            <w:top w:w="0" w:type="dxa"/>
            <w:left w:w="108" w:type="dxa"/>
            <w:bottom w:w="0" w:type="dxa"/>
            <w:right w:w="108" w:type="dxa"/>
          </w:tblCellMar>
        </w:tblPrEx>
        <w:trPr>
          <w:jc w:val="center"/>
        </w:trPr>
        <w:tc>
          <w:tcPr>
            <w:tcW w:w="1928" w:type="dxa"/>
            <w:vAlign w:val="center"/>
          </w:tcPr>
          <w:p w14:paraId="7B678D8A">
            <w:pPr>
              <w:spacing w:before="40" w:after="40"/>
              <w:jc w:val="center"/>
            </w:pPr>
            <w:r>
              <w:rPr>
                <w:rFonts w:ascii="Times New Roman" w:hAnsi="Times New Roman" w:eastAsia="宋体"/>
                <w:b w:val="0"/>
                <w:i w:val="0"/>
                <w:sz w:val="19"/>
                <w:u w:val="none"/>
              </w:rPr>
              <w:t>R&amp;D经费支出</w:t>
            </w:r>
          </w:p>
        </w:tc>
        <w:tc>
          <w:tcPr>
            <w:tcW w:w="2835" w:type="dxa"/>
            <w:vAlign w:val="center"/>
          </w:tcPr>
          <w:p w14:paraId="51559251">
            <w:pPr>
              <w:spacing w:before="40" w:after="40"/>
              <w:jc w:val="center"/>
            </w:pPr>
            <w:r>
              <w:rPr>
                <w:rFonts w:ascii="Times New Roman" w:hAnsi="Times New Roman" w:eastAsia="宋体"/>
                <w:b w:val="0"/>
                <w:i w:val="0"/>
                <w:sz w:val="19"/>
                <w:u w:val="none"/>
              </w:rPr>
              <w:t>39262亿元，投入强度2.80%</w:t>
            </w:r>
          </w:p>
        </w:tc>
        <w:tc>
          <w:tcPr>
            <w:tcW w:w="3969" w:type="dxa"/>
            <w:vAlign w:val="center"/>
          </w:tcPr>
          <w:p w14:paraId="158995A9">
            <w:pPr>
              <w:spacing w:before="40" w:after="40"/>
              <w:jc w:val="center"/>
            </w:pPr>
            <w:r>
              <w:rPr>
                <w:rFonts w:ascii="Times New Roman" w:hAnsi="Times New Roman" w:eastAsia="宋体"/>
                <w:b w:val="0"/>
                <w:i w:val="0"/>
                <w:sz w:val="19"/>
                <w:u w:val="none"/>
              </w:rPr>
              <w:t>创新投入是形成新质生产力的前提</w:t>
            </w:r>
          </w:p>
        </w:tc>
      </w:tr>
      <w:tr w14:paraId="24D5822B">
        <w:tblPrEx>
          <w:tblBorders>
            <w:top w:val="single" w:color="000000" w:sz="12" w:space="0"/>
            <w:left w:val="none" w:color="000000" w:sz="0" w:space="0"/>
            <w:bottom w:val="single" w:color="000000" w:sz="12" w:space="0"/>
            <w:right w:val="none" w:color="000000" w:sz="0" w:space="0"/>
            <w:insideH w:val="none" w:color="000000" w:sz="0" w:space="0"/>
            <w:insideV w:val="none" w:color="000000" w:sz="0" w:space="0"/>
          </w:tblBorders>
          <w:tblCellMar>
            <w:top w:w="0" w:type="dxa"/>
            <w:left w:w="108" w:type="dxa"/>
            <w:bottom w:w="0" w:type="dxa"/>
            <w:right w:w="108" w:type="dxa"/>
          </w:tblCellMar>
        </w:tblPrEx>
        <w:trPr>
          <w:jc w:val="center"/>
        </w:trPr>
        <w:tc>
          <w:tcPr>
            <w:tcW w:w="1928" w:type="dxa"/>
            <w:vAlign w:val="center"/>
          </w:tcPr>
          <w:p w14:paraId="54A705C8">
            <w:pPr>
              <w:spacing w:before="40" w:after="40"/>
              <w:jc w:val="center"/>
            </w:pPr>
            <w:r>
              <w:rPr>
                <w:rFonts w:ascii="Times New Roman" w:hAnsi="Times New Roman" w:eastAsia="宋体"/>
                <w:b w:val="0"/>
                <w:i w:val="0"/>
                <w:sz w:val="19"/>
                <w:u w:val="none"/>
              </w:rPr>
              <w:t>新能源汽车产量</w:t>
            </w:r>
          </w:p>
        </w:tc>
        <w:tc>
          <w:tcPr>
            <w:tcW w:w="2835" w:type="dxa"/>
            <w:vAlign w:val="center"/>
          </w:tcPr>
          <w:p w14:paraId="6594A500">
            <w:pPr>
              <w:spacing w:before="40" w:after="40"/>
              <w:jc w:val="center"/>
            </w:pPr>
            <w:r>
              <w:rPr>
                <w:rFonts w:ascii="Times New Roman" w:hAnsi="Times New Roman" w:eastAsia="宋体"/>
                <w:b w:val="0"/>
                <w:i w:val="0"/>
                <w:sz w:val="19"/>
                <w:u w:val="none"/>
              </w:rPr>
              <w:t>1652.4万辆，增长25.1%</w:t>
            </w:r>
          </w:p>
        </w:tc>
        <w:tc>
          <w:tcPr>
            <w:tcW w:w="3969" w:type="dxa"/>
            <w:vAlign w:val="center"/>
          </w:tcPr>
          <w:p w14:paraId="6241B7A3">
            <w:pPr>
              <w:spacing w:before="40" w:after="40"/>
              <w:jc w:val="center"/>
            </w:pPr>
            <w:r>
              <w:rPr>
                <w:rFonts w:ascii="Times New Roman" w:hAnsi="Times New Roman" w:eastAsia="宋体"/>
                <w:b w:val="0"/>
                <w:i w:val="0"/>
                <w:sz w:val="19"/>
                <w:u w:val="none"/>
              </w:rPr>
              <w:t>体现绿色转型和产业链协同优势</w:t>
            </w:r>
          </w:p>
        </w:tc>
      </w:tr>
    </w:tbl>
    <w:p w14:paraId="10F52429">
      <w:pPr>
        <w:keepNext w:val="0"/>
        <w:keepLines w:val="0"/>
        <w:pageBreakBefore w:val="0"/>
        <w:spacing w:before="0" w:after="0" w:line="360" w:lineRule="auto"/>
        <w:ind w:firstLine="0" w:firstLineChars="0"/>
        <w:jc w:val="both"/>
      </w:pPr>
      <w:r>
        <w:rPr>
          <w:rFonts w:ascii="Times New Roman" w:hAnsi="Times New Roman" w:eastAsia="宋体"/>
          <w:b w:val="0"/>
          <w:i w:val="0"/>
          <w:sz w:val="24"/>
          <w:u w:val="none"/>
        </w:rPr>
        <w:t>资料来源：根据国家统计局《中华人民共和国2025年国民经济和社会发展统计公报》和《2025年经济发展向新向优 预期目标圆满实现》整理。</w:t>
      </w:r>
    </w:p>
    <w:p w14:paraId="1786E16D">
      <w:pPr>
        <w:pStyle w:val="3"/>
        <w:keepNext/>
        <w:keepLines/>
        <w:pageBreakBefore w:val="0"/>
        <w:widowControl/>
        <w:kinsoku/>
        <w:wordWrap/>
        <w:overflowPunct/>
        <w:topLinePunct w:val="0"/>
        <w:autoSpaceDE/>
        <w:autoSpaceDN/>
        <w:bidi w:val="0"/>
        <w:adjustRightInd/>
        <w:snapToGrid/>
        <w:spacing w:before="200" w:after="120"/>
        <w:ind w:firstLineChars="0"/>
        <w:textAlignment w:val="auto"/>
      </w:pPr>
      <w:bookmarkStart w:id="5" w:name="_Toc6559"/>
      <w:r>
        <w:rPr>
          <w:rFonts w:ascii="Times New Roman" w:hAnsi="Times New Roman" w:eastAsia="黑体"/>
          <w:b/>
          <w:i w:val="0"/>
          <w:sz w:val="32"/>
          <w:u w:val="none"/>
        </w:rPr>
        <w:t>四、主要难点与现实约束</w:t>
      </w:r>
      <w:bookmarkEnd w:id="5"/>
    </w:p>
    <w:p w14:paraId="2C34B715">
      <w:pPr>
        <w:keepNext w:val="0"/>
        <w:keepLines w:val="0"/>
        <w:pageBreakBefore w:val="0"/>
        <w:spacing w:before="0" w:after="0" w:line="360" w:lineRule="auto"/>
        <w:ind w:firstLineChars="200"/>
        <w:jc w:val="both"/>
      </w:pPr>
      <w:r>
        <w:rPr>
          <w:rFonts w:ascii="Times New Roman" w:hAnsi="Times New Roman" w:eastAsia="宋体"/>
          <w:b w:val="0"/>
          <w:i w:val="0"/>
          <w:sz w:val="24"/>
          <w:u w:val="none"/>
        </w:rPr>
        <w:t>第一，关键核心技术仍存在短板。新质生产力以原创性、颠覆性科技创新为重要来源，但基础研究到工程化应用之间往往存在较长链条。我国在新能源、部分先进制造和数字基础设施方面形成了优势，但在高端芯片、工业软件、精密仪器、基础材料等环节仍面临外部限制和内部积累不足。若关键技术受制于人，产业升级就容易出现“有规模、缺核心”的问题。</w:t>
      </w:r>
    </w:p>
    <w:p w14:paraId="4EA90556">
      <w:pPr>
        <w:keepNext w:val="0"/>
        <w:keepLines w:val="0"/>
        <w:pageBreakBefore w:val="0"/>
        <w:spacing w:before="0" w:after="0" w:line="360" w:lineRule="auto"/>
        <w:ind w:firstLineChars="200"/>
        <w:jc w:val="both"/>
      </w:pPr>
      <w:r>
        <w:rPr>
          <w:rFonts w:ascii="Times New Roman" w:hAnsi="Times New Roman" w:eastAsia="宋体"/>
          <w:b w:val="0"/>
          <w:i w:val="0"/>
          <w:sz w:val="24"/>
          <w:u w:val="none"/>
        </w:rPr>
        <w:t>第二，有效需求不足会影响新动能扩散。新技术只有进入市场、形成收入和利润，才能持续迭代。当前部分行业存在产能扩张较快、价格竞争激烈、企业盈利压力较大的现象。如果居民收入预期不稳、民间投资信心不足，技术供给就难以顺利转化为可持续增长。发展新质生产力不能只看实验室和产业园，也要看就业、收入、消费和企业现金流。</w:t>
      </w:r>
    </w:p>
    <w:p w14:paraId="3D3C421A">
      <w:pPr>
        <w:keepNext w:val="0"/>
        <w:keepLines w:val="0"/>
        <w:pageBreakBefore w:val="0"/>
        <w:spacing w:before="0" w:after="0" w:line="360" w:lineRule="auto"/>
        <w:ind w:firstLineChars="200"/>
        <w:jc w:val="both"/>
      </w:pPr>
      <w:r>
        <w:rPr>
          <w:rFonts w:ascii="Times New Roman" w:hAnsi="Times New Roman" w:eastAsia="宋体"/>
          <w:b w:val="0"/>
          <w:i w:val="0"/>
          <w:sz w:val="24"/>
          <w:u w:val="none"/>
        </w:rPr>
        <w:t>第三，区域之间的条件差异较大。东部沿海地区拥有更强的人才、资本和产业链配套，部分中西部地区则在能源、土地、算力、应用场景和劳动力成本上有比较优势。问题在于，如果地方政府都追逐同一批热门产业，容易造成重复建设和低水平竞争。因地制宜发展新质生产力，意味着各地要根据自身产业基础、科教资源和市场半径选择方向，而不是把“未来产业”简单理解成项目清单。</w:t>
      </w:r>
    </w:p>
    <w:p w14:paraId="2EC4A34C">
      <w:pPr>
        <w:keepNext w:val="0"/>
        <w:keepLines w:val="0"/>
        <w:pageBreakBefore w:val="0"/>
        <w:spacing w:before="0" w:after="0" w:line="360" w:lineRule="auto"/>
        <w:ind w:firstLineChars="200"/>
        <w:jc w:val="both"/>
      </w:pPr>
      <w:r>
        <w:rPr>
          <w:rFonts w:ascii="Times New Roman" w:hAnsi="Times New Roman" w:eastAsia="宋体"/>
          <w:b w:val="0"/>
          <w:i w:val="0"/>
          <w:sz w:val="24"/>
          <w:u w:val="none"/>
        </w:rPr>
        <w:t>第四，制度环境需要继续适配新技术。数据要素流通、科技成果转化、知识产权保护、绿色金融、风险投资退出机制、平台经济监管等制度安排，都会影响新质生产力的成长速度。技术变化越快，越需要稳定、透明、可预期的制度供给。如果审批、融资、人才流动和市场准入存在堵点，创新主体就会把大量精力消耗在非生产性环节。</w:t>
      </w:r>
    </w:p>
    <w:p w14:paraId="4F58F10D">
      <w:pPr>
        <w:pStyle w:val="3"/>
        <w:keepNext/>
        <w:keepLines/>
        <w:pageBreakBefore w:val="0"/>
        <w:widowControl/>
        <w:kinsoku/>
        <w:wordWrap/>
        <w:overflowPunct/>
        <w:topLinePunct w:val="0"/>
        <w:autoSpaceDE/>
        <w:autoSpaceDN/>
        <w:bidi w:val="0"/>
        <w:adjustRightInd/>
        <w:snapToGrid/>
        <w:spacing w:before="200" w:after="120"/>
        <w:ind w:firstLineChars="0"/>
        <w:textAlignment w:val="auto"/>
      </w:pPr>
      <w:bookmarkStart w:id="6" w:name="_Toc22172"/>
      <w:r>
        <w:rPr>
          <w:rFonts w:ascii="Times New Roman" w:hAnsi="Times New Roman" w:eastAsia="黑体"/>
          <w:b/>
          <w:i w:val="0"/>
          <w:sz w:val="32"/>
          <w:u w:val="none"/>
        </w:rPr>
        <w:t>五、推动高质量发展的实践路径</w:t>
      </w:r>
      <w:bookmarkEnd w:id="6"/>
    </w:p>
    <w:p w14:paraId="7C680978">
      <w:pPr>
        <w:keepNext w:val="0"/>
        <w:keepLines w:val="0"/>
        <w:pageBreakBefore w:val="0"/>
        <w:spacing w:before="0" w:after="0" w:line="360" w:lineRule="auto"/>
        <w:ind w:firstLineChars="200"/>
        <w:jc w:val="both"/>
      </w:pPr>
      <w:r>
        <w:rPr>
          <w:rFonts w:ascii="Times New Roman" w:hAnsi="Times New Roman" w:eastAsia="宋体"/>
          <w:b w:val="0"/>
          <w:i w:val="0"/>
          <w:sz w:val="24"/>
          <w:u w:val="none"/>
        </w:rPr>
        <w:t>第一，打通科技创新和产业创新之间的循环。高校和科研机构应更重视基础研究与产业需求的双向连接，企业则要成为技术路线选择、产品定义和场景验证的重要主体。政府的作用不宜停留在“给补贴”，而应更多投向长期基础能力，如重大科研平台、公共试验验证平台、开源生态、工业软件底座和高水平职业教育。金融体系也要从偏好抵押物和短期回报，逐步转向理解技术风险、产业周期和知识产权价值。</w:t>
      </w:r>
    </w:p>
    <w:p w14:paraId="44D260E7">
      <w:pPr>
        <w:keepNext w:val="0"/>
        <w:keepLines w:val="0"/>
        <w:pageBreakBefore w:val="0"/>
        <w:spacing w:before="0" w:after="0" w:line="360" w:lineRule="auto"/>
        <w:ind w:firstLineChars="200"/>
        <w:jc w:val="both"/>
      </w:pPr>
      <w:r>
        <w:rPr>
          <w:rFonts w:ascii="Times New Roman" w:hAnsi="Times New Roman" w:eastAsia="宋体"/>
          <w:b w:val="0"/>
          <w:i w:val="0"/>
          <w:sz w:val="24"/>
          <w:u w:val="none"/>
        </w:rPr>
        <w:t>第二，坚持新兴产业培育和传统产业改造并重。中国经济体量大，传统制造、建筑、交通、农业和生活服务仍吸纳大量就业。新质生产力并不是把这些领域排除在外，而是通过数字化设备、智能排产、绿色工艺、供应链协同和品牌升级，提高传统产业的效率和附加值。比如纺织、家电、工程机械、农产品加工等行业，如果能通过工业互联网、机器人和绿色能源降低成本、提升质量，同样是在形成新质生产力。</w:t>
      </w:r>
    </w:p>
    <w:p w14:paraId="0E6C9AF8">
      <w:pPr>
        <w:keepNext w:val="0"/>
        <w:keepLines w:val="0"/>
        <w:pageBreakBefore w:val="0"/>
        <w:spacing w:before="0" w:after="0" w:line="360" w:lineRule="auto"/>
        <w:ind w:firstLineChars="200"/>
        <w:jc w:val="both"/>
      </w:pPr>
      <w:r>
        <w:rPr>
          <w:rFonts w:ascii="Times New Roman" w:hAnsi="Times New Roman" w:eastAsia="宋体"/>
          <w:b w:val="0"/>
          <w:i w:val="0"/>
          <w:sz w:val="24"/>
          <w:u w:val="none"/>
        </w:rPr>
        <w:t>第三，建设全国统一大市场，减少低水平内卷。技术创新最终要在更大市场中实现规模经济。统一市场规则、公平竞争审查、要素自由流动和跨区域产业协作，有助于企业把更多资源投入研发和品牌，而不是投入地方保护、重复认证和价格战。对地方政府而言，更重要的不是“抢项目”，而是提供稳定营商环境、公共服务和产业配套，让优势企业和创新人才愿意留下来长期发展。</w:t>
      </w:r>
    </w:p>
    <w:p w14:paraId="5F12D2B5">
      <w:pPr>
        <w:keepNext w:val="0"/>
        <w:keepLines w:val="0"/>
        <w:pageBreakBefore w:val="0"/>
        <w:spacing w:before="0" w:after="0" w:line="360" w:lineRule="auto"/>
        <w:ind w:firstLineChars="200"/>
        <w:jc w:val="both"/>
      </w:pPr>
      <w:r>
        <w:rPr>
          <w:rFonts w:ascii="Times New Roman" w:hAnsi="Times New Roman" w:eastAsia="宋体"/>
          <w:b w:val="0"/>
          <w:i w:val="0"/>
          <w:sz w:val="24"/>
          <w:u w:val="none"/>
        </w:rPr>
        <w:t>第四，把绿色转型作为新质生产力的重要方向。新能源、节能装备、循环经济和绿色建筑既关系生态文明，也关系国际竞争力。随着全球贸易规则越来越重视碳足迹和供应链可持续性，绿色低碳能力会成为制造业竞争的新门槛。中国在新能源汽车、光伏、风电、储能等领域已经具备一定优势，下一步应避免单纯依赖规模扩张，而要在核心材料、系统集成、回收利用和国际标准上继续提升。</w:t>
      </w:r>
    </w:p>
    <w:p w14:paraId="11EEA609">
      <w:pPr>
        <w:keepNext w:val="0"/>
        <w:keepLines w:val="0"/>
        <w:pageBreakBefore w:val="0"/>
        <w:spacing w:before="0" w:after="0" w:line="360" w:lineRule="auto"/>
        <w:ind w:firstLineChars="200"/>
        <w:jc w:val="both"/>
      </w:pPr>
      <w:r>
        <w:rPr>
          <w:rFonts w:ascii="Times New Roman" w:hAnsi="Times New Roman" w:eastAsia="宋体"/>
          <w:b w:val="0"/>
          <w:i w:val="0"/>
          <w:sz w:val="24"/>
          <w:u w:val="none"/>
        </w:rPr>
        <w:t>第五，让发展成果更多转化为人的能力提升和生活改善。新质生产力不能只停留在宏观指标和产业口径里。教育质量、技能培训、就业转换、社会保障和公共服务，都会影响劳动者能否进入新的生产体系。若技术进步造成岗位替代，却没有相应的再培训和收入支持，社会对创新的接受度就会下降。高质量发展的最终落点，应当是更充分的就业、更稳定的收入、更高质量的公共服务和更可持续的生活方式。</w:t>
      </w:r>
    </w:p>
    <w:p w14:paraId="0F3C46FE">
      <w:pPr>
        <w:pStyle w:val="3"/>
        <w:keepNext/>
        <w:keepLines/>
        <w:pageBreakBefore w:val="0"/>
        <w:widowControl/>
        <w:kinsoku/>
        <w:wordWrap/>
        <w:overflowPunct/>
        <w:topLinePunct w:val="0"/>
        <w:autoSpaceDE/>
        <w:autoSpaceDN/>
        <w:bidi w:val="0"/>
        <w:adjustRightInd/>
        <w:snapToGrid/>
        <w:spacing w:before="200" w:after="120"/>
        <w:ind w:firstLineChars="0"/>
        <w:textAlignment w:val="auto"/>
      </w:pPr>
      <w:bookmarkStart w:id="7" w:name="_Toc12919"/>
      <w:r>
        <w:rPr>
          <w:rFonts w:ascii="Times New Roman" w:hAnsi="Times New Roman" w:eastAsia="黑体"/>
          <w:b/>
          <w:i w:val="0"/>
          <w:sz w:val="32"/>
          <w:u w:val="none"/>
        </w:rPr>
        <w:t>六、结论</w:t>
      </w:r>
      <w:bookmarkEnd w:id="7"/>
    </w:p>
    <w:p w14:paraId="240EC674">
      <w:pPr>
        <w:keepNext w:val="0"/>
        <w:keepLines w:val="0"/>
        <w:pageBreakBefore w:val="0"/>
        <w:spacing w:before="0" w:after="0" w:line="360" w:lineRule="auto"/>
        <w:ind w:firstLineChars="200"/>
        <w:jc w:val="both"/>
      </w:pPr>
      <w:r>
        <w:rPr>
          <w:rFonts w:ascii="Times New Roman" w:hAnsi="Times New Roman" w:eastAsia="宋体"/>
          <w:b w:val="0"/>
          <w:i w:val="0"/>
          <w:sz w:val="24"/>
          <w:u w:val="none"/>
        </w:rPr>
        <w:t>总体来看，新质生产力是新时代中国经济高质量发展的重要解释框架。它把科技创新、产业升级、绿色转型和制度改革联系在一起，回应了中国经济从规模扩张走向质量提升的现实要求。2025年中国经济数据显示，装备制造业、高技术制造业、研发投入和新能源汽车等领域延续较快增长，为新质生产力成长提供了现实基础。但与此同时，关键技术短板、需求不足、区域同质化竞争和制度适配不充分等问题仍然存在。</w:t>
      </w:r>
    </w:p>
    <w:p w14:paraId="02A591AD">
      <w:pPr>
        <w:keepNext w:val="0"/>
        <w:keepLines w:val="0"/>
        <w:pageBreakBefore w:val="0"/>
        <w:spacing w:before="0" w:after="0" w:line="360" w:lineRule="auto"/>
        <w:ind w:firstLineChars="200"/>
        <w:jc w:val="both"/>
      </w:pPr>
      <w:r>
        <w:rPr>
          <w:rFonts w:ascii="Times New Roman" w:hAnsi="Times New Roman" w:eastAsia="宋体"/>
          <w:b w:val="0"/>
          <w:i w:val="0"/>
          <w:sz w:val="24"/>
          <w:u w:val="none"/>
        </w:rPr>
        <w:t>因此，发展新质生产力不能停留在概念使用上，更不能把它窄化为少数热门产业。更稳妥的路径，是在坚持实体经济根基的前提下，推动科技创新和产业创新深度融合；在扩大有效需求的同时，提升供给体系质量；在鼓励地方探索的同时，防止低水平重复建设；在追求效率的同时，兼顾就业、收入和公平。只有这样，新质生产力才能真正成为中国式现代化的经济支撑，也才能使新时代中国经济在复杂国际环境中保持韧性、活力和长期竞争力。</w:t>
      </w:r>
    </w:p>
    <w:p w14:paraId="3BA02452">
      <w:pPr>
        <w:rPr>
          <w:rFonts w:ascii="Times New Roman" w:hAnsi="Times New Roman" w:eastAsia="宋体"/>
          <w:b/>
          <w:i w:val="0"/>
          <w:sz w:val="32"/>
          <w:u w:val="none"/>
        </w:rPr>
      </w:pPr>
      <w:r>
        <w:rPr>
          <w:rFonts w:ascii="Times New Roman" w:hAnsi="Times New Roman" w:eastAsia="宋体"/>
          <w:b/>
          <w:i w:val="0"/>
          <w:sz w:val="32"/>
          <w:u w:val="none"/>
        </w:rPr>
        <w:br w:type="page"/>
      </w:r>
    </w:p>
    <w:p w14:paraId="325BF91B">
      <w:pPr>
        <w:pStyle w:val="3"/>
        <w:keepNext/>
        <w:keepLines/>
        <w:pageBreakBefore w:val="0"/>
        <w:widowControl/>
        <w:kinsoku/>
        <w:wordWrap/>
        <w:overflowPunct/>
        <w:topLinePunct w:val="0"/>
        <w:autoSpaceDE/>
        <w:autoSpaceDN/>
        <w:bidi w:val="0"/>
        <w:adjustRightInd/>
        <w:snapToGrid/>
        <w:ind w:firstLineChars="0"/>
        <w:jc w:val="center"/>
        <w:textAlignment w:val="auto"/>
      </w:pPr>
      <w:bookmarkStart w:id="8" w:name="_Toc2527"/>
      <w:r>
        <w:rPr>
          <w:rFonts w:ascii="Times New Roman" w:hAnsi="Times New Roman" w:eastAsia="宋体"/>
          <w:b/>
          <w:i w:val="0"/>
          <w:sz w:val="32"/>
          <w:u w:val="none"/>
        </w:rPr>
        <w:t>参考文献</w:t>
      </w:r>
      <w:bookmarkEnd w:id="8"/>
    </w:p>
    <w:p w14:paraId="00CD8648">
      <w:pPr>
        <w:spacing w:line="360" w:lineRule="auto"/>
        <w:ind w:firstLine="0"/>
      </w:pPr>
      <w:r>
        <w:rPr>
          <w:rFonts w:ascii="Times New Roman" w:hAnsi="Times New Roman" w:eastAsia="宋体"/>
          <w:b w:val="0"/>
          <w:i w:val="0"/>
          <w:sz w:val="21"/>
          <w:u w:val="none"/>
        </w:rPr>
        <w:t>[1] 习近平. 高举中国特色社会主义伟大旗帜 为全面建设社会主义现代化国家而团结奋斗: 在中国共产党第二十次全国代表大会上的报告[R]. 2022-10-16.</w:t>
      </w:r>
    </w:p>
    <w:p w14:paraId="5AD1A3DE">
      <w:pPr>
        <w:spacing w:line="360" w:lineRule="auto"/>
        <w:ind w:firstLine="0"/>
      </w:pPr>
      <w:r>
        <w:rPr>
          <w:rFonts w:ascii="Times New Roman" w:hAnsi="Times New Roman" w:eastAsia="宋体"/>
          <w:b w:val="0"/>
          <w:i w:val="0"/>
          <w:sz w:val="21"/>
          <w:u w:val="none"/>
        </w:rPr>
        <w:t>[2] 习近平. 发展新质生产力是推动高质量发展的内在要求和重要着力点[N/OL]. 中国政府网, 2024-05-31. https://www.gov.cn/yaowen/liebiao/202405/content_6954761.htm.</w:t>
      </w:r>
    </w:p>
    <w:p w14:paraId="38E97CFF">
      <w:pPr>
        <w:spacing w:line="360" w:lineRule="auto"/>
        <w:ind w:firstLine="0"/>
      </w:pPr>
      <w:r>
        <w:rPr>
          <w:rFonts w:ascii="Times New Roman" w:hAnsi="Times New Roman" w:eastAsia="宋体"/>
          <w:b w:val="0"/>
          <w:i w:val="0"/>
          <w:sz w:val="21"/>
          <w:u w:val="none"/>
        </w:rPr>
        <w:t>[3] 国家统计局. 中华人民共和国2025年国民经济和社会发展统计公报[R/OL]. 2026-02-28. https://www.stats.gov.cn/sj/zxfb/202602/t20260228_1962662.html.</w:t>
      </w:r>
    </w:p>
    <w:p w14:paraId="4EB12704">
      <w:pPr>
        <w:spacing w:line="360" w:lineRule="auto"/>
        <w:ind w:firstLine="0"/>
      </w:pPr>
      <w:r>
        <w:rPr>
          <w:rFonts w:ascii="Times New Roman" w:hAnsi="Times New Roman" w:eastAsia="宋体"/>
          <w:b w:val="0"/>
          <w:i w:val="0"/>
          <w:sz w:val="21"/>
          <w:u w:val="none"/>
        </w:rPr>
        <w:t>[4] 国家统计局. 2025年经济发展向新向优 预期目标圆满实现[R/OL]. 2026-01-19. https://www.stats.gov.cn/sj/zxfb/202601/t20260119_1962330.html.</w:t>
      </w:r>
    </w:p>
    <w:p w14:paraId="6099318D">
      <w:pPr>
        <w:spacing w:line="360" w:lineRule="auto"/>
        <w:ind w:firstLine="0"/>
      </w:pPr>
      <w:r>
        <w:rPr>
          <w:rFonts w:ascii="Times New Roman" w:hAnsi="Times New Roman" w:eastAsia="宋体"/>
          <w:b w:val="0"/>
          <w:i w:val="0"/>
          <w:sz w:val="21"/>
          <w:u w:val="none"/>
        </w:rPr>
        <w:t>[5] 中共中央. 中共中央关于进一步全面深化改革 推进中国式现代化的决定[R/OL]. 2024-07-21. https://www.gov.cn/zhengce/202407/content_6963770.htm.</w:t>
      </w:r>
    </w:p>
    <w:sectPr>
      <w:footerReference r:id="rId7" w:type="first"/>
      <w:footerReference r:id="rId6" w:type="default"/>
      <w:pgSz w:w="11906" w:h="16838"/>
      <w:pgMar w:top="1417" w:right="1417" w:bottom="1417" w:left="1417" w:header="850" w:footer="992" w:gutter="0"/>
      <w:pgNumType w:fmt="decimal" w:start="1"/>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ESRI AMFM Electric"/>
    <w:panose1 w:val="00000000000000000000"/>
    <w:charset w:val="00"/>
    <w:family w:val="auto"/>
    <w:pitch w:val="default"/>
    <w:sig w:usb0="00000000" w:usb1="00000000" w:usb2="00000000" w:usb3="00000000" w:csb0="00000000" w:csb1="00000000"/>
  </w:font>
  <w:font w:name="ESRI AMFM Electric">
    <w:panose1 w:val="02000400000000000000"/>
    <w:charset w:val="00"/>
    <w:family w:val="auto"/>
    <w:pitch w:val="default"/>
    <w:sig w:usb0="00000003" w:usb1="00000000" w:usb2="00000000" w:usb3="00000000" w:csb0="00000001" w:csb1="00000000"/>
  </w:font>
  <w:font w:name="Courier New">
    <w:panose1 w:val="02070309020205020404"/>
    <w:charset w:val="00"/>
    <w:family w:val="auto"/>
    <w:pitch w:val="default"/>
    <w:sig w:usb0="E0002EFF" w:usb1="C0007843" w:usb2="00000009" w:usb3="00000000" w:csb0="400001FF" w:csb1="FFFF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8DD3F">
    <w:pPr>
      <w:pStyle w:val="24"/>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CB4DFE9">
                          <w:pPr>
                            <w:pStyle w:val="24"/>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7CB4DFE9">
                    <w:pPr>
                      <w:pStyle w:val="24"/>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F5A17">
    <w:pPr>
      <w:pStyle w:val="24"/>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3274F75">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53274F75">
                    <w:pPr>
                      <w:pStyle w:val="2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CDF06">
    <w:pPr>
      <w:pStyle w:val="25"/>
      <w:jc w:val="center"/>
    </w:pPr>
    <w:r>
      <w:rPr>
        <w:rFonts w:ascii="Times New Roman" w:hAnsi="Times New Roman" w:eastAsia="宋体"/>
        <w:b w:val="0"/>
        <w:i w:val="0"/>
        <w:sz w:val="18"/>
        <w:u w:val="none"/>
      </w:rPr>
      <w:t>新时代中国经济B期末报告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1BEB6517"/>
    <w:rsid w:val="3940236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60" w:lineRule="auto"/>
      <w:ind w:firstLineChars="200"/>
      <w:jc w:val="both"/>
    </w:pPr>
    <w:rPr>
      <w:rFonts w:ascii="Times New Roman" w:hAnsi="Times New Roman" w:eastAsia="宋体" w:cstheme="minorBidi"/>
      <w:sz w:val="24"/>
      <w:szCs w:val="22"/>
      <w:lang w:val="en-US" w:eastAsia="en-US" w:bidi="ar-SA"/>
    </w:rPr>
  </w:style>
  <w:style w:type="paragraph" w:styleId="3">
    <w:name w:val="heading 1"/>
    <w:basedOn w:val="1"/>
    <w:next w:val="1"/>
    <w:link w:val="139"/>
    <w:qFormat/>
    <w:uiPriority w:val="9"/>
    <w:pPr>
      <w:keepNext/>
      <w:keepLines/>
      <w:spacing w:before="120" w:after="120" w:line="360" w:lineRule="auto"/>
      <w:jc w:val="left"/>
      <w:outlineLvl w:val="0"/>
    </w:pPr>
    <w:rPr>
      <w:rFonts w:ascii="Times New Roman" w:hAnsi="Times New Roman" w:eastAsia="黑体"/>
      <w:b/>
      <w:bCs/>
      <w:color w:val="000000"/>
      <w:sz w:val="32"/>
      <w:szCs w:val="28"/>
    </w:rPr>
  </w:style>
  <w:style w:type="paragraph" w:styleId="4">
    <w:name w:val="heading 2"/>
    <w:basedOn w:val="1"/>
    <w:next w:val="1"/>
    <w:link w:val="140"/>
    <w:unhideWhenUsed/>
    <w:qFormat/>
    <w:uiPriority w:val="9"/>
    <w:pPr>
      <w:keepNext/>
      <w:keepLines/>
      <w:spacing w:before="120" w:after="120" w:line="360" w:lineRule="auto"/>
      <w:jc w:val="left"/>
      <w:outlineLvl w:val="1"/>
    </w:pPr>
    <w:rPr>
      <w:rFonts w:ascii="Times New Roman" w:hAnsi="Times New Roman" w:eastAsia="黑体"/>
      <w:b/>
      <w:bCs/>
      <w:color w:val="000000"/>
      <w:sz w:val="28"/>
      <w:szCs w:val="26"/>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qFormat/>
    <w:uiPriority w:val="99"/>
    <w:pPr>
      <w:tabs>
        <w:tab w:val="center" w:pos="4680"/>
        <w:tab w:val="right" w:pos="9360"/>
      </w:tabs>
      <w:spacing w:after="0" w:line="240" w:lineRule="auto"/>
    </w:pPr>
  </w:style>
  <w:style w:type="paragraph" w:styleId="25">
    <w:name w:val="header"/>
    <w:basedOn w:val="1"/>
    <w:link w:val="136"/>
    <w:unhideWhenUsed/>
    <w:qFormat/>
    <w:uiPriority w:val="99"/>
    <w:pPr>
      <w:tabs>
        <w:tab w:val="center" w:pos="4680"/>
        <w:tab w:val="right" w:pos="9360"/>
      </w:tabs>
      <w:spacing w:after="0" w:line="240" w:lineRule="auto"/>
    </w:pPr>
  </w:style>
  <w:style w:type="paragraph" w:styleId="26">
    <w:name w:val="toc 1"/>
    <w:basedOn w:val="1"/>
    <w:next w:val="1"/>
    <w:semiHidden/>
    <w:unhideWhenUsed/>
    <w:uiPriority w:val="39"/>
  </w:style>
  <w:style w:type="paragraph" w:styleId="27">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8">
    <w:name w:val="List"/>
    <w:basedOn w:val="1"/>
    <w:unhideWhenUsed/>
    <w:uiPriority w:val="99"/>
    <w:pPr>
      <w:ind w:left="360" w:hanging="360"/>
      <w:contextualSpacing/>
    </w:pPr>
  </w:style>
  <w:style w:type="paragraph" w:styleId="29">
    <w:name w:val="Body Text 2"/>
    <w:basedOn w:val="1"/>
    <w:link w:val="146"/>
    <w:unhideWhenUsed/>
    <w:uiPriority w:val="99"/>
    <w:pPr>
      <w:spacing w:after="120" w:line="480" w:lineRule="auto"/>
    </w:pPr>
  </w:style>
  <w:style w:type="paragraph" w:styleId="30">
    <w:name w:val="List Continue 2"/>
    <w:basedOn w:val="1"/>
    <w:unhideWhenUsed/>
    <w:uiPriority w:val="99"/>
    <w:pPr>
      <w:spacing w:after="120"/>
      <w:ind w:left="720"/>
      <w:contextualSpacing/>
    </w:p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qFormat/>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7"/>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9"/>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2342</Words>
  <Characters>2466</Characters>
  <Lines>0</Lines>
  <Paragraphs>0</Paragraphs>
  <TotalTime>2</TotalTime>
  <ScaleCrop>false</ScaleCrop>
  <LinksUpToDate>false</LinksUpToDate>
  <CharactersWithSpaces>2467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WPS_1665158381</dc:creator>
  <dc:description>generated by python-docx</dc:description>
  <cp:lastModifiedBy>WPS_1665158381</cp:lastModifiedBy>
  <dcterms:modified xsi:type="dcterms:W3CDTF">2026-07-05T09:59:47Z</dcterms:modified>
  <dc:subject>新时代中国经济B期末报告</dc:subject>
  <dc:title>新质生产力驱动新时代中国经济高质量发展的逻辑、难点与路径</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eyJoZGlkIjoiNTM3MzVjZmMzZDYzNjQyMWFjNTBmMzhkZDU4OWM4OTciLCJ1c2VySWQiOiIxNDE2NjM3MTY5In0=</vt:lpwstr>
  </property>
  <property fmtid="{D5CDD505-2E9C-101B-9397-08002B2CF9AE}" pid="3" name="KSOProductBuildVer">
    <vt:lpwstr>2052-12.1.0.26895</vt:lpwstr>
  </property>
  <property fmtid="{D5CDD505-2E9C-101B-9397-08002B2CF9AE}" pid="4" name="ICV">
    <vt:lpwstr>847158BD6E294F089129D4442C50C4C6_12</vt:lpwstr>
  </property>
</Properties>
</file>