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  <w:jc w:val="center"/>
      </w:pPr>
      <w:r>
        <w:rPr>
          <w:rFonts w:ascii="黑体" w:hAnsi="黑体" w:eastAsia="黑体"/>
          <w:b/>
          <w:sz w:val="36"/>
        </w:rPr>
        <w:t>家电行业上市公司财务健康度综合评价报告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一、引言与研究意义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家电行业是我国市场化程度最高、竞争最充分的消费制造业之一，行业整体进入存量博弈阶段。在地产周期下行、消费分级与“以旧换新”政策驱动并存的背景下，家电企业之间在盈利质量、现金安全、运营效率和成长动能上的分化日益突出。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本报告以 A 股“家用电器”行业上市公司为样本，运用 Python 调用 Tushare 财务数据，构建涵盖盈利、偿债、运营、成长四个维度的综合评价体系，对企业财务健康度进行量化打分与排名，揭示行业财务格局，并探讨规模龙头与细分龙头在财务健康度上的差异。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二、样本选择与数据来源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数据来源于 Tushare Pro 财务指标接口（fina_indicator），时间区间为 2020—2024 年，采用各公司近 5 年年报数据。样本筛选时剔除被特别处理（ST/*ST）的公司，避免财务异常企业对“健康度”评价造成干扰。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为保证数据质量，要求公司至少具备 4 个年度的完整指标，并以各指标近 5 年均值代表公司整体水平。此外，对各指标按 5%/95% 分位进行缩尾处理（异常值处理），削弱个别小市值公司超高增长率等极端值的影响。经清洗后共有 88 家公司纳入最终评价。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三、财务健康度评价模型</w:t>
      </w:r>
    </w:p>
    <w:p>
      <w:pPr>
        <w:spacing w:before="120" w:after="80"/>
      </w:pPr>
      <w:r>
        <w:rPr>
          <w:rFonts w:ascii="黑体" w:hAnsi="黑体" w:eastAsia="黑体"/>
          <w:b/>
          <w:sz w:val="26"/>
        </w:rPr>
        <w:t>3.1 评价指标体系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评价体系由盈利能力、偿债能力、运营能力、成长能力四个一级维度构成，每个维度选取3 项代表性财务指标，具体如下表。</w:t>
      </w:r>
    </w:p>
    <w:p>
      <w:pPr>
        <w:jc w:val="center"/>
      </w:pPr>
      <w:r>
        <w:rPr>
          <w:rFonts w:ascii="楷体" w:hAnsi="楷体" w:eastAsia="楷体"/>
          <w:b w:val="0"/>
          <w:sz w:val="21"/>
        </w:rPr>
        <w:t>表1 家电行业财务健康度评价指标体系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评价维度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选取指标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盈利能力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净资产收益率ROE、销售净利率、总资产报酬率ROA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偿债能力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流动比率、现金比率、资产负债率(逆向)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运营能力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存货周转率、应收账款周转率、总资产周转率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成长能力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营业收入增长率、净利润增长率、每股收益增长率</w:t>
            </w:r>
          </w:p>
        </w:tc>
      </w:tr>
    </w:tbl>
    <w:p>
      <w:pPr>
        <w:spacing w:after="80"/>
      </w:pPr>
    </w:p>
    <w:p>
      <w:pPr>
        <w:spacing w:before="120" w:after="80"/>
      </w:pPr>
      <w:r>
        <w:rPr>
          <w:rFonts w:ascii="黑体" w:hAnsi="黑体" w:eastAsia="黑体"/>
          <w:b/>
          <w:sz w:val="26"/>
        </w:rPr>
        <w:t>3.2 综合评分方法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采用“极差标准化 + 等权重综合”的评价思路：首先对每项指标在行业内做 min-max 标准化，统一映射到 0—100 分，其中资产负债率为逆向指标做反向处理；其次在每个维度内对各指标取等权平均得到维度得分；最后对四个维度同样取等权平均，得到综合得分并排序。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等权重不依赖主观赋权，计算透明、便于复现，能够较为客观地刻画企业在各维度上的相对位置。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四、行业财务健康度排名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按综合得分排序，家电行业财务健康度排名前三的公司为 倍益康、石头科技、公牛集团。前 15 名公司综合得分见图1，排名前十明细见表2。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12080" cy="312724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图1_综合得分排名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12724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图1 家电行业财务健康度综合得分 TOP15</w:t>
      </w:r>
    </w:p>
    <w:p>
      <w:pPr>
        <w:jc w:val="center"/>
      </w:pPr>
      <w:r>
        <w:rPr>
          <w:rFonts w:ascii="楷体" w:hAnsi="楷体" w:eastAsia="楷体"/>
          <w:b w:val="0"/>
          <w:sz w:val="21"/>
        </w:rPr>
        <w:t>表2 综合得分排名前十的公司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排名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公司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盈利能力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偿债能力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运营能力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成长能力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综合得分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倍益康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94.14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77.63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61.22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93.72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81.68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石头科技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85.86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100.00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58.11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71.96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78.98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公牛集团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99.69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81.73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69.25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57.67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77.09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浙江美大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95.14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100.00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75.86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31.88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75.72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立霸股份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98.46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66.24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56.80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70.51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73.00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飞科电器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87.22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71.72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41.68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45.80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61.61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科沃斯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66.97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30.41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43.52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100.00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60.22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北鼎股份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52.01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94.82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40.75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53.02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60.15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9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亿田智能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59.31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80.21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50.34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49.08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59.73</w:t>
            </w:r>
          </w:p>
        </w:tc>
      </w:tr>
      <w:tr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10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欧圣电气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71.06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40.22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43.72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79.56</w:t>
            </w:r>
          </w:p>
        </w:tc>
        <w:tc>
          <w:tcPr>
            <w:tcW w:type="dxa" w:w="1234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58.64</w:t>
            </w:r>
          </w:p>
        </w:tc>
      </w:tr>
    </w:tbl>
    <w:p>
      <w:pPr>
        <w:spacing w:after="80"/>
      </w:pP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五、规模龙头与细分龙头的财务分化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一个值得注意的现象是：榜单前列以公牛集团、石头科技、科沃斯等高毛利、低负债的细分赛道公司为主，而传统规模龙头美的集团（第54名）、格力电器（第61名）、海尔智家（第56名）的综合得分排名相对靠中。其原因在于，规模龙头普遍资产负债率较高、营收基数大导致增长率偏低，因而在偿债与成长维度的标准化得分受到拖累；而细分龙头依托高盈利与轻资产模式，在多个维度上表现更均衡。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这一结果并不意味着规模龙头经营能力弱，而是反映出本评价体系以“等权、相对”的方式衡量财务健康度时，盈利质量与财务稳健性被赋予了与规模无关的同等地位。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12080" cy="284295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图2_四维度分组柱状图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284295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图2 TOP8 公司四维度得分对比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六、四维度结构与龙头能力画像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从四维度得分分布（图4）看，行业在“成长能力”维度整体表现相对较好（平均52.9分），而“运营能力”维度平均得分最低（37.3分）、且公司间差异较大，说明家电企业在该维度上的分化最为明显。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12080" cy="325755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图4_四维度箱线图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2575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图4 家电行业四维度得分分布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选取综合得分前五的公司绘制雷达图（图3），可直观看到其能力结构：头部公司大多在盈利与偿债维度形成稳固支撑，成长维度则各有快慢，整体呈现“稳健型”的财务画像。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12080" cy="521208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图3_TOP5雷达图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52120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图3 TOP5 公司四维度能力雷达图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七、结论与对策建议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第一，家电行业财务健康度排名前列的多为高盈利、低杠杆的细分赛道公司，倍益康、石头科技、公牛集团等表现突出。第二，规模龙头受较高负债与低增速影响，综合得分排名居中，提示其在保持市场地位的同时应关注财务结构的优化。第三，行业内偿债与成长维度分化明显，是拉开企业财务健康度差距的关键。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建议：对企业而言，规模龙头可通过降杠杆、提升现金创造能力来改善财务稳健性，细分公司则需在保持盈利优势的同时增强抗周期能力；对投资者而言，应将盈利质量与财务安全并重，结合四维度综合判断，而非单纯以营收规模论强弱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