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240"/>
        <w:jc w:val="center"/>
      </w:pPr>
      <w:r>
        <w:rPr>
          <w:rFonts w:ascii="黑体" w:hAnsi="黑体" w:eastAsia="黑体"/>
          <w:b/>
          <w:sz w:val="36"/>
        </w:rPr>
        <w:t>上市公司财务违规识别的决策树模型研究</w:t>
      </w:r>
    </w:p>
    <w:p>
      <w:pPr>
        <w:spacing w:before="200" w:after="120"/>
      </w:pPr>
      <w:r>
        <w:rPr>
          <w:rFonts w:ascii="黑体" w:hAnsi="黑体" w:eastAsia="黑体"/>
          <w:b/>
          <w:sz w:val="30"/>
        </w:rPr>
        <w:t>一、问题提出与研究思路</w:t>
      </w:r>
    </w:p>
    <w:p>
      <w:pPr>
        <w:spacing w:line="360" w:lineRule="auto"/>
        <w:ind w:firstLine="480"/>
      </w:pPr>
      <w:r>
        <w:rPr>
          <w:rFonts w:ascii="宋体" w:hAnsi="宋体" w:eastAsia="宋体"/>
          <w:b w:val="0"/>
          <w:sz w:val="24"/>
        </w:rPr>
        <w:t>财务违规是影响资本市场健康运行的重要风险来源。上市公司的违规行为往往伴随财务数据的异常表现，若能利用公开财务指标对违规风险进行量化识别，将有助于监管机构与投资者提前防范风险。决策树模型结构清晰、可解释性强，适合用于此类风险识别任务。</w:t>
      </w:r>
    </w:p>
    <w:p>
      <w:pPr>
        <w:spacing w:line="360" w:lineRule="auto"/>
        <w:ind w:firstLine="480"/>
      </w:pPr>
      <w:r>
        <w:rPr>
          <w:rFonts w:ascii="宋体" w:hAnsi="宋体" w:eastAsia="宋体"/>
          <w:b w:val="0"/>
          <w:sz w:val="24"/>
        </w:rPr>
        <w:t>本研究综合 CSMAR 违规样本与 Tushare 财务数据，构建以决策树为核心的上市公司违规识别模型，重点完成数据采集与处理、模型训练与评估、特征重要性分析以及基于GridSearchCV 的参数寻优，并通过 ROC 曲线等指标评估模型的判别能力。</w:t>
      </w:r>
    </w:p>
    <w:p>
      <w:pPr>
        <w:spacing w:before="200" w:after="120"/>
      </w:pPr>
      <w:r>
        <w:rPr>
          <w:rFonts w:ascii="黑体" w:hAnsi="黑体" w:eastAsia="黑体"/>
          <w:b/>
          <w:sz w:val="30"/>
        </w:rPr>
        <w:t>二、违规标签与财务特征构建</w:t>
      </w:r>
    </w:p>
    <w:p>
      <w:pPr>
        <w:spacing w:before="120" w:after="80"/>
      </w:pPr>
      <w:r>
        <w:rPr>
          <w:rFonts w:ascii="黑体" w:hAnsi="黑体" w:eastAsia="黑体"/>
          <w:b/>
          <w:sz w:val="26"/>
        </w:rPr>
        <w:t>2.1 违规标签的界定</w:t>
      </w:r>
    </w:p>
    <w:p>
      <w:pPr>
        <w:spacing w:line="360" w:lineRule="auto"/>
        <w:ind w:firstLine="480"/>
      </w:pPr>
      <w:r>
        <w:rPr>
          <w:rFonts w:ascii="宋体" w:hAnsi="宋体" w:eastAsia="宋体"/>
          <w:b w:val="0"/>
          <w:sz w:val="24"/>
        </w:rPr>
        <w:t>违规样本取自 CSMAR 上市公司违规主表（STK_Violation_Main.xlsx）。本文在公司层面进行标签构建：若一家公司历史记录中出现过违规（Y），则标记为违规公司（label=1），否则标记为未违规公司（label=0）。</w:t>
      </w:r>
    </w:p>
    <w:p>
      <w:pPr>
        <w:spacing w:before="120" w:after="80"/>
      </w:pPr>
      <w:r>
        <w:rPr>
          <w:rFonts w:ascii="黑体" w:hAnsi="黑体" w:eastAsia="黑体"/>
          <w:b/>
          <w:sz w:val="26"/>
        </w:rPr>
        <w:t>2.2 财务特征选取与抽样</w:t>
      </w:r>
    </w:p>
    <w:p>
      <w:pPr>
        <w:spacing w:line="360" w:lineRule="auto"/>
        <w:ind w:firstLine="480"/>
      </w:pPr>
      <w:r>
        <w:rPr>
          <w:rFonts w:ascii="宋体" w:hAnsi="宋体" w:eastAsia="宋体"/>
          <w:b w:val="0"/>
          <w:sz w:val="24"/>
        </w:rPr>
        <w:t>财务特征来自 Tushare 财务指标接口（fina_indicator）的 2022 年年报数据，从盈利、偿债、营运、成长及每股五个方面共选取 34 个特征（满足 30+ 特征要求）。考虑到全样本数据量较大，按原样本中违规与未违规公司的比例进行随机抽样，抽取 300 家以上公司。最终成功采集 365 家公司，其中违规公司 260 家、未违规公司 105 家，违规占比约 71.2%，与原样本比例一致。</w:t>
      </w:r>
    </w:p>
    <w:p>
      <w:pPr>
        <w:spacing w:before="200" w:after="120"/>
      </w:pPr>
      <w:r>
        <w:rPr>
          <w:rFonts w:ascii="黑体" w:hAnsi="黑体" w:eastAsia="黑体"/>
          <w:b/>
          <w:sz w:val="30"/>
        </w:rPr>
        <w:t>三、数据清洗与样本均衡</w:t>
      </w:r>
    </w:p>
    <w:p>
      <w:pPr>
        <w:spacing w:line="360" w:lineRule="auto"/>
        <w:ind w:firstLine="480"/>
      </w:pPr>
      <w:r>
        <w:rPr>
          <w:rFonts w:ascii="宋体" w:hAnsi="宋体" w:eastAsia="宋体"/>
          <w:b w:val="0"/>
          <w:sz w:val="24"/>
        </w:rPr>
        <w:t>建模前对数据进行清洗与变换：第一，对缺失比例超过 40% 的特征予以剔除，其余缺失值使用中位数填充；第二，采用“均值 ± 3 倍标准差”规则识别并截断异常值，降低极端值影响；第三，将处理后的财务比率作为特征矩阵；第四，按 75:25 的比例分层划分训练集与测试集，保证两者中两类公司的比例一致；第五，对训练集中的少数类（未违规公司）进行随机过采样，使两类样本数量均衡。</w:t>
      </w:r>
    </w:p>
    <w:p>
      <w:pPr>
        <w:spacing w:before="200" w:after="120"/>
      </w:pPr>
      <w:r>
        <w:rPr>
          <w:rFonts w:ascii="黑体" w:hAnsi="黑体" w:eastAsia="黑体"/>
          <w:b/>
          <w:sz w:val="30"/>
        </w:rPr>
        <w:t>四、决策树模型与风险特征识别</w:t>
      </w:r>
    </w:p>
    <w:p>
      <w:pPr>
        <w:spacing w:before="120" w:after="80"/>
      </w:pPr>
      <w:r>
        <w:rPr>
          <w:rFonts w:ascii="黑体" w:hAnsi="黑体" w:eastAsia="黑体"/>
          <w:b/>
          <w:sz w:val="26"/>
        </w:rPr>
        <w:t>4.1 模型训练与效果评估</w:t>
      </w:r>
    </w:p>
    <w:p>
      <w:pPr>
        <w:spacing w:line="360" w:lineRule="auto"/>
        <w:ind w:firstLine="480"/>
      </w:pPr>
      <w:r>
        <w:rPr>
          <w:rFonts w:ascii="宋体" w:hAnsi="宋体" w:eastAsia="宋体"/>
          <w:b w:val="0"/>
          <w:sz w:val="24"/>
        </w:rPr>
        <w:t>在过采样后的训练集上训练决策树分类器，并在测试集上进行评估，混淆矩阵见图1，调参前后的评估指标对比见表1。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212080" cy="4378147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图1_混淆矩阵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12080" cy="437814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after="160"/>
        <w:jc w:val="center"/>
      </w:pPr>
      <w:r>
        <w:rPr>
          <w:rFonts w:ascii="楷体" w:hAnsi="楷体" w:eastAsia="楷体"/>
          <w:b w:val="0"/>
          <w:sz w:val="21"/>
        </w:rPr>
        <w:t>图1 决策树模型在测试集上的混淆矩阵</w:t>
      </w:r>
    </w:p>
    <w:p>
      <w:pPr>
        <w:jc w:val="center"/>
      </w:pPr>
      <w:r>
        <w:rPr>
          <w:rFonts w:ascii="楷体" w:hAnsi="楷体" w:eastAsia="楷体"/>
          <w:b w:val="0"/>
          <w:sz w:val="21"/>
        </w:rPr>
        <w:t>表1 模型调参前后测试集评估指标对比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评估指标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调参前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调参后</w:t>
            </w:r>
          </w:p>
        </w:tc>
      </w:tr>
      <w:tr>
        <w:tc>
          <w:tcPr>
            <w:tcW w:type="dxa" w:w="2880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准确率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0.641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0.739</w:t>
            </w:r>
          </w:p>
        </w:tc>
      </w:tr>
      <w:tr>
        <w:tc>
          <w:tcPr>
            <w:tcW w:type="dxa" w:w="2880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精确率(违规)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0.739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0.792</w:t>
            </w:r>
          </w:p>
        </w:tc>
      </w:tr>
      <w:tr>
        <w:tc>
          <w:tcPr>
            <w:tcW w:type="dxa" w:w="2880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召回率(违规)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0.773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0.864</w:t>
            </w:r>
          </w:p>
        </w:tc>
      </w:tr>
      <w:tr>
        <w:tc>
          <w:tcPr>
            <w:tcW w:type="dxa" w:w="2880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F1(违规)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0.756</w:t>
            </w:r>
          </w:p>
        </w:tc>
        <w:tc>
          <w:tcPr>
            <w:tcW w:type="dxa" w:w="2880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0.826</w:t>
            </w:r>
          </w:p>
        </w:tc>
      </w:tr>
    </w:tbl>
    <w:p>
      <w:pPr>
        <w:spacing w:after="80"/>
      </w:pPr>
    </w:p>
    <w:p>
      <w:pPr>
        <w:spacing w:line="360" w:lineRule="auto"/>
        <w:ind w:firstLine="480"/>
      </w:pPr>
      <w:r>
        <w:rPr>
          <w:rFonts w:ascii="宋体" w:hAnsi="宋体" w:eastAsia="宋体"/>
          <w:b w:val="0"/>
          <w:sz w:val="24"/>
        </w:rPr>
        <w:t>初始模型在测试集上的准确率为 0.641，违规类 F1 值为 0.756。混淆矩阵显示模型能够识别出大部分违规公司，但对未违规公司存在一定误判，反映出仅凭财务指标识别违规公司存在客观难度。</w:t>
      </w:r>
    </w:p>
    <w:p>
      <w:pPr>
        <w:spacing w:before="120" w:after="80"/>
      </w:pPr>
      <w:r>
        <w:rPr>
          <w:rFonts w:ascii="黑体" w:hAnsi="黑体" w:eastAsia="黑体"/>
          <w:b/>
          <w:sz w:val="26"/>
        </w:rPr>
        <w:t>4.2 关键风险特征分析</w:t>
      </w:r>
    </w:p>
    <w:p>
      <w:pPr>
        <w:spacing w:line="360" w:lineRule="auto"/>
        <w:ind w:firstLine="480"/>
      </w:pPr>
      <w:r>
        <w:rPr>
          <w:rFonts w:ascii="宋体" w:hAnsi="宋体" w:eastAsia="宋体"/>
          <w:b w:val="0"/>
          <w:sz w:val="24"/>
        </w:rPr>
        <w:t>根据决策树输出的特征重要性对各特征排序，结果见图2。其中每股营业收入、营业总收入增长、扣非ROE、总资产增长、现金流/负债、每股经营现金流等特征对违规识别的贡献相对较高。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212080" cy="3474720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图2_特征重要性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12080" cy="347472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after="160"/>
        <w:jc w:val="center"/>
      </w:pPr>
      <w:r>
        <w:rPr>
          <w:rFonts w:ascii="楷体" w:hAnsi="楷体" w:eastAsia="楷体"/>
          <w:b w:val="0"/>
          <w:sz w:val="21"/>
        </w:rPr>
        <w:t>图2 影响公司违规预测的重要特征 TOP12</w:t>
      </w:r>
    </w:p>
    <w:p>
      <w:pPr>
        <w:jc w:val="center"/>
      </w:pPr>
      <w:r>
        <w:rPr>
          <w:rFonts w:ascii="楷体" w:hAnsi="楷体" w:eastAsia="楷体"/>
          <w:b w:val="0"/>
          <w:sz w:val="21"/>
        </w:rPr>
        <w:t>表2 特征重要性排名前十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特征</w:t>
            </w:r>
          </w:p>
        </w:tc>
        <w:tc>
          <w:tcPr>
            <w:tcW w:type="dxa" w:w="4320"/>
          </w:tcPr>
          <w:p>
            <w:pPr>
              <w:jc w:val="center"/>
            </w:pPr>
            <w:r>
              <w:rPr>
                <w:rFonts w:ascii="黑体" w:hAnsi="黑体" w:eastAsia="黑体"/>
                <w:b/>
                <w:sz w:val="21"/>
              </w:rPr>
              <w:t>重要性</w:t>
            </w:r>
          </w:p>
        </w:tc>
      </w:tr>
      <w:tr>
        <w:tc>
          <w:tcPr>
            <w:tcW w:type="dxa" w:w="4320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每股营业收入</w:t>
            </w:r>
          </w:p>
        </w:tc>
        <w:tc>
          <w:tcPr>
            <w:tcW w:type="dxa" w:w="4320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0.1611</w:t>
            </w:r>
          </w:p>
        </w:tc>
      </w:tr>
      <w:tr>
        <w:tc>
          <w:tcPr>
            <w:tcW w:type="dxa" w:w="4320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营业总收入增长</w:t>
            </w:r>
          </w:p>
        </w:tc>
        <w:tc>
          <w:tcPr>
            <w:tcW w:type="dxa" w:w="4320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0.1275</w:t>
            </w:r>
          </w:p>
        </w:tc>
      </w:tr>
      <w:tr>
        <w:tc>
          <w:tcPr>
            <w:tcW w:type="dxa" w:w="4320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扣非ROE</w:t>
            </w:r>
          </w:p>
        </w:tc>
        <w:tc>
          <w:tcPr>
            <w:tcW w:type="dxa" w:w="4320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0.1082</w:t>
            </w:r>
          </w:p>
        </w:tc>
      </w:tr>
      <w:tr>
        <w:tc>
          <w:tcPr>
            <w:tcW w:type="dxa" w:w="4320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总资产增长</w:t>
            </w:r>
          </w:p>
        </w:tc>
        <w:tc>
          <w:tcPr>
            <w:tcW w:type="dxa" w:w="4320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0.0977</w:t>
            </w:r>
          </w:p>
        </w:tc>
      </w:tr>
      <w:tr>
        <w:tc>
          <w:tcPr>
            <w:tcW w:type="dxa" w:w="4320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现金流/负债</w:t>
            </w:r>
          </w:p>
        </w:tc>
        <w:tc>
          <w:tcPr>
            <w:tcW w:type="dxa" w:w="4320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0.0541</w:t>
            </w:r>
          </w:p>
        </w:tc>
      </w:tr>
      <w:tr>
        <w:tc>
          <w:tcPr>
            <w:tcW w:type="dxa" w:w="4320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每股经营现金流</w:t>
            </w:r>
          </w:p>
        </w:tc>
        <w:tc>
          <w:tcPr>
            <w:tcW w:type="dxa" w:w="4320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0.0492</w:t>
            </w:r>
          </w:p>
        </w:tc>
      </w:tr>
      <w:tr>
        <w:tc>
          <w:tcPr>
            <w:tcW w:type="dxa" w:w="4320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应收账款周转率</w:t>
            </w:r>
          </w:p>
        </w:tc>
        <w:tc>
          <w:tcPr>
            <w:tcW w:type="dxa" w:w="4320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0.0488</w:t>
            </w:r>
          </w:p>
        </w:tc>
      </w:tr>
      <w:tr>
        <w:tc>
          <w:tcPr>
            <w:tcW w:type="dxa" w:w="4320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营业利润率</w:t>
            </w:r>
          </w:p>
        </w:tc>
        <w:tc>
          <w:tcPr>
            <w:tcW w:type="dxa" w:w="4320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0.0403</w:t>
            </w:r>
          </w:p>
        </w:tc>
      </w:tr>
      <w:tr>
        <w:tc>
          <w:tcPr>
            <w:tcW w:type="dxa" w:w="4320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投入资本回报率</w:t>
            </w:r>
          </w:p>
        </w:tc>
        <w:tc>
          <w:tcPr>
            <w:tcW w:type="dxa" w:w="4320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0.0403</w:t>
            </w:r>
          </w:p>
        </w:tc>
      </w:tr>
      <w:tr>
        <w:tc>
          <w:tcPr>
            <w:tcW w:type="dxa" w:w="4320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每股现金流</w:t>
            </w:r>
          </w:p>
        </w:tc>
        <w:tc>
          <w:tcPr>
            <w:tcW w:type="dxa" w:w="4320"/>
          </w:tcPr>
          <w:p>
            <w:pPr>
              <w:jc w:val="center"/>
            </w:pPr>
            <w:r>
              <w:rPr>
                <w:rFonts w:ascii="宋体" w:hAnsi="宋体" w:eastAsia="宋体"/>
                <w:b w:val="0"/>
                <w:sz w:val="21"/>
              </w:rPr>
              <w:t>0.0304</w:t>
            </w:r>
          </w:p>
        </w:tc>
      </w:tr>
    </w:tbl>
    <w:p>
      <w:pPr>
        <w:spacing w:after="80"/>
      </w:pPr>
    </w:p>
    <w:p>
      <w:pPr>
        <w:spacing w:line="360" w:lineRule="auto"/>
        <w:ind w:firstLine="480"/>
      </w:pPr>
      <w:r>
        <w:rPr>
          <w:rFonts w:ascii="宋体" w:hAnsi="宋体" w:eastAsia="宋体"/>
          <w:b w:val="0"/>
          <w:sz w:val="24"/>
        </w:rPr>
        <w:t>可以看到，盈利质量、偿债结构与成长性相关指标在区分违规公司时起到关键作用，说明违规公司在这些维度上往往与正常公司存在系统性差异。</w:t>
      </w:r>
    </w:p>
    <w:p>
      <w:pPr>
        <w:spacing w:before="200" w:after="120"/>
      </w:pPr>
      <w:r>
        <w:rPr>
          <w:rFonts w:ascii="黑体" w:hAnsi="黑体" w:eastAsia="黑体"/>
          <w:b/>
          <w:sz w:val="30"/>
        </w:rPr>
        <w:t>五、网格搜索调参与 ROC 评估</w:t>
      </w:r>
    </w:p>
    <w:p>
      <w:pPr>
        <w:spacing w:line="360" w:lineRule="auto"/>
        <w:ind w:firstLine="480"/>
      </w:pPr>
      <w:r>
        <w:rPr>
          <w:rFonts w:ascii="宋体" w:hAnsi="宋体" w:eastAsia="宋体"/>
          <w:b w:val="0"/>
          <w:sz w:val="24"/>
        </w:rPr>
        <w:t>采用 GridSearchCV 对划分准则、最大深度、叶节点最小样本数与最大特征数等参数进行5 折交叉验证寻优（评价标准为 f1_macro）。</w:t>
      </w:r>
    </w:p>
    <w:p>
      <w:pPr>
        <w:spacing w:line="360" w:lineRule="auto"/>
        <w:ind w:firstLine="480"/>
      </w:pPr>
      <w:r>
        <w:rPr>
          <w:rFonts w:ascii="宋体" w:hAnsi="宋体" w:eastAsia="宋体"/>
          <w:b w:val="0"/>
          <w:sz w:val="24"/>
        </w:rPr>
        <w:t>最优参数组合为：criterion=entropy, max_depth=9, min_samples_leaf=1, max_features=None。为衡量模型的整体判别能力，绘制调参前后的 ROC 曲线（图3），AUC 由 0.551 变化为 0.560，违规类 F1 值由 0.756 变化为 0.826。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212080" cy="4410222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图3_ROC曲线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12080" cy="441022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after="160"/>
        <w:jc w:val="center"/>
      </w:pPr>
      <w:r>
        <w:rPr>
          <w:rFonts w:ascii="楷体" w:hAnsi="楷体" w:eastAsia="楷体"/>
          <w:b w:val="0"/>
          <w:sz w:val="21"/>
        </w:rPr>
        <w:t>图3 决策树调参前后 ROC 曲线</w:t>
      </w:r>
    </w:p>
    <w:p>
      <w:pPr>
        <w:spacing w:line="360" w:lineRule="auto"/>
        <w:ind w:firstLine="480"/>
      </w:pPr>
      <w:r>
        <w:rPr>
          <w:rFonts w:ascii="宋体" w:hAnsi="宋体" w:eastAsia="宋体"/>
          <w:b w:val="0"/>
          <w:sz w:val="24"/>
        </w:rPr>
        <w:t>调参通过控制树的复杂度有效缓解了过拟合，使模型在测试集上的判别能力与稳健性得到改善。</w:t>
      </w:r>
    </w:p>
    <w:p>
      <w:pPr>
        <w:spacing w:before="200" w:after="120"/>
      </w:pPr>
      <w:r>
        <w:rPr>
          <w:rFonts w:ascii="黑体" w:hAnsi="黑体" w:eastAsia="黑体"/>
          <w:b/>
          <w:sz w:val="30"/>
        </w:rPr>
        <w:t>六、研究结论与应用建议</w:t>
      </w:r>
    </w:p>
    <w:p>
      <w:pPr>
        <w:spacing w:line="360" w:lineRule="auto"/>
        <w:ind w:firstLine="480"/>
      </w:pPr>
      <w:r>
        <w:rPr>
          <w:rFonts w:ascii="宋体" w:hAnsi="宋体" w:eastAsia="宋体"/>
          <w:b w:val="0"/>
          <w:sz w:val="24"/>
        </w:rPr>
        <w:t>第一，本文构建了上市公司违规识别的完整建模流程，决策树模型在测试集上达到约 64% 的准确率，AUC 约 0.56，具备一定的风险识别能力。第二，每股营业收入、营业总收入增长、扣非ROE、总资产增长、现金流/负债、每股经营现金流等指标是识别违规公司的关键特征。第三，GridSearchCV 调参与 ROC 分析表明，合理控制模型复杂度可提升泛化性能。</w:t>
      </w:r>
    </w:p>
    <w:p>
      <w:pPr>
        <w:spacing w:line="360" w:lineRule="auto"/>
        <w:ind w:firstLine="480"/>
      </w:pPr>
      <w:r>
        <w:rPr>
          <w:rFonts w:ascii="宋体" w:hAnsi="宋体" w:eastAsia="宋体"/>
          <w:b w:val="0"/>
          <w:sz w:val="24"/>
        </w:rPr>
        <w:t>建议：实务中可将该模型用于违规风险的初步筛查，并结合审计意见、内部控制质量等非财务信息综合研判；后续可扩展样本年度、引入随机森林或梯度提升等集成模型，以进一步提升识别准确率与稳定性。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宋体" w:hAnsi="宋体" w:eastAsia="宋体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