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4230C">
      <w:pPr>
        <w:spacing w:after="240"/>
        <w:jc w:val="center"/>
      </w:pPr>
      <w:r>
        <w:rPr>
          <w:rFonts w:ascii="黑体" w:hAnsi="黑体" w:eastAsia="黑体"/>
          <w:b/>
          <w:sz w:val="36"/>
        </w:rPr>
        <w:t>新能源汽车（整车）行业财务健康度综合评价报告</w:t>
      </w:r>
    </w:p>
    <w:p w14:paraId="5A21ACAD">
      <w:pPr>
        <w:spacing w:before="200" w:after="120"/>
      </w:pPr>
      <w:r>
        <w:rPr>
          <w:rFonts w:ascii="黑体" w:hAnsi="黑体" w:eastAsia="黑体"/>
          <w:b/>
          <w:sz w:val="30"/>
        </w:rPr>
        <w:t>一、研究背景与目标</w:t>
      </w:r>
    </w:p>
    <w:p w14:paraId="31296325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新能源汽车是我国制造业转型升级与“双碳”战略的重要赛道，整车制造企业近年来在销量、营收与盈利结构上经历了剧烈分化。在行业高速扩张的同时，企业之间的盈利质量、偿债压力、资产运营效率与成长可持续性差异明显，单纯依靠营收或销量难以全面刻画企业的真实财务状况。</w:t>
      </w:r>
    </w:p>
    <w:p w14:paraId="47BC3ED4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本报告以新能源汽车整车上市公司为研究对象，借助 Python 与 Tushare 财务数据接口，从盈利、偿债、运营、成长四个维度构建综合评价体系，对行业内公司进行量化打分与排序，识别行业财务健康度的整体格局与龙头企业的能力特征，为投资判断与经营对标提供参考。</w:t>
      </w:r>
    </w:p>
    <w:p w14:paraId="3C354FC7">
      <w:pPr>
        <w:spacing w:before="200" w:after="120"/>
      </w:pPr>
      <w:r>
        <w:rPr>
          <w:rFonts w:ascii="黑体" w:hAnsi="黑体" w:eastAsia="黑体"/>
          <w:b/>
          <w:sz w:val="30"/>
        </w:rPr>
        <w:t>二、数据来源与样本说明</w:t>
      </w:r>
    </w:p>
    <w:p w14:paraId="5EC65DC6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数据来源于 Tushare Pro 财务指标接口（fina_indicator）。样本为申万行业分类中“汽车整车”的 A 股上市公司，覆盖比亚迪、长安汽车、长城汽车、上汽集团、广汽集团、赛力斯等主流整车厂商。时间区间为 2020—2024 年，采用各公司近 5 年年报数据。</w:t>
      </w:r>
    </w:p>
    <w:p w14:paraId="38602B12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为保证评价稳健性，剔除上市时间过短、数据缺失严重的公司，要求至少具备 3 个年度的完整指标。经清洗后共有 22 家公司纳入最终评价。考虑到单一年度财务数据易受偶发因素影响，本文以各指标近 5 年均值代表公司的整体水平。</w:t>
      </w:r>
    </w:p>
    <w:p w14:paraId="5AF94A97">
      <w:pPr>
        <w:spacing w:before="200" w:after="120"/>
      </w:pPr>
      <w:r>
        <w:rPr>
          <w:rFonts w:ascii="黑体" w:hAnsi="黑体" w:eastAsia="黑体"/>
          <w:b/>
          <w:sz w:val="30"/>
        </w:rPr>
        <w:t>三、评价指标体系</w:t>
      </w:r>
    </w:p>
    <w:p w14:paraId="7BFC5EA8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围绕企业财务健康度，构建“盈利能力、偿债能力、运营能力、成长能力”四个一级维度，每个维度下选取 3 项代表性指标，具体如下表所示。</w:t>
      </w:r>
    </w:p>
    <w:p w14:paraId="4AC1B1AC">
      <w:pPr>
        <w:rPr>
          <w:rFonts w:ascii="楷体" w:hAnsi="楷体" w:eastAsia="楷体"/>
          <w:b w:val="0"/>
          <w:sz w:val="21"/>
        </w:rPr>
      </w:pPr>
      <w:r>
        <w:rPr>
          <w:rFonts w:ascii="楷体" w:hAnsi="楷体" w:eastAsia="楷体"/>
          <w:b w:val="0"/>
          <w:sz w:val="21"/>
        </w:rPr>
        <w:br w:type="page"/>
      </w:r>
    </w:p>
    <w:p w14:paraId="1F59757A">
      <w:pPr>
        <w:jc w:val="center"/>
      </w:pPr>
      <w:r>
        <w:rPr>
          <w:rFonts w:ascii="楷体" w:hAnsi="楷体" w:eastAsia="楷体"/>
          <w:b w:val="0"/>
          <w:sz w:val="21"/>
        </w:rPr>
        <w:t>表1 财务健康度四维度评价指标体系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5C2F6E0D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039A18D0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评价维度</w:t>
            </w:r>
          </w:p>
        </w:tc>
        <w:tc>
          <w:tcPr>
            <w:tcW w:w="4320" w:type="dxa"/>
          </w:tcPr>
          <w:p w14:paraId="0D251E00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选取指标</w:t>
            </w:r>
          </w:p>
        </w:tc>
      </w:tr>
      <w:tr w14:paraId="0BF31340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52724F6A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盈利能力</w:t>
            </w:r>
          </w:p>
        </w:tc>
        <w:tc>
          <w:tcPr>
            <w:tcW w:w="4320" w:type="dxa"/>
          </w:tcPr>
          <w:p w14:paraId="125280B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净资产收益率ROE、销售净利率、销售毛利率</w:t>
            </w:r>
          </w:p>
        </w:tc>
      </w:tr>
      <w:tr w14:paraId="2EC34C5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3E4C2BD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偿债能力</w:t>
            </w:r>
          </w:p>
        </w:tc>
        <w:tc>
          <w:tcPr>
            <w:tcW w:w="4320" w:type="dxa"/>
          </w:tcPr>
          <w:p w14:paraId="583182A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流动比率、速动比率、资产负债率(逆向)</w:t>
            </w:r>
          </w:p>
        </w:tc>
      </w:tr>
      <w:tr w14:paraId="0E65AFA6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16889D3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运营能力</w:t>
            </w:r>
          </w:p>
        </w:tc>
        <w:tc>
          <w:tcPr>
            <w:tcW w:w="4320" w:type="dxa"/>
          </w:tcPr>
          <w:p w14:paraId="6F5ADED0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存货周转率、应收账款周转率、总资产周转率</w:t>
            </w:r>
          </w:p>
        </w:tc>
      </w:tr>
      <w:tr w14:paraId="52EAC023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63069FD0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成长能力</w:t>
            </w:r>
          </w:p>
        </w:tc>
        <w:tc>
          <w:tcPr>
            <w:tcW w:w="4320" w:type="dxa"/>
          </w:tcPr>
          <w:p w14:paraId="28F59CE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营业收入增长率、净利润增长率、总资产增长率</w:t>
            </w:r>
          </w:p>
        </w:tc>
      </w:tr>
    </w:tbl>
    <w:p w14:paraId="73462062">
      <w:pPr>
        <w:spacing w:after="80"/>
      </w:pPr>
    </w:p>
    <w:p w14:paraId="577438DF">
      <w:pPr>
        <w:spacing w:before="200" w:after="120"/>
      </w:pPr>
      <w:r>
        <w:rPr>
          <w:rFonts w:ascii="黑体" w:hAnsi="黑体" w:eastAsia="黑体"/>
          <w:b/>
          <w:sz w:val="30"/>
        </w:rPr>
        <w:t>四、评价方法</w:t>
      </w:r>
    </w:p>
    <w:p w14:paraId="087B46E6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评价采用“标准化 + 等权重打分”的方法，步骤如下：</w:t>
      </w:r>
    </w:p>
    <w:p w14:paraId="3733F82C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（1）指标标准化。对每项指标在行业内做极差（min-max）标准化，映射到 0—100 分；其中资产负债率属于逆向指标，数值越低越好，标准化时做反向处理。</w:t>
      </w:r>
    </w:p>
    <w:p w14:paraId="2D3C674B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（2）维度得分。每个维度内的各指标采用相同（平均）权重，取标准化得分的算术平均，得到该维度得分。</w:t>
      </w:r>
    </w:p>
    <w:p w14:paraId="2AE26284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（3）综合得分。四个维度之间同样采用平均权重，取四个维度得分的算术平均作为公司的财务健康度综合得分，并据此排序。</w:t>
      </w:r>
    </w:p>
    <w:p w14:paraId="2B281856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等权重方法不引入主观赋权，结果客观、可复现，便于在行业内进行横向对比。</w:t>
      </w:r>
    </w:p>
    <w:p w14:paraId="3D205112">
      <w:pPr>
        <w:spacing w:before="200" w:after="120"/>
      </w:pPr>
      <w:r>
        <w:rPr>
          <w:rFonts w:ascii="黑体" w:hAnsi="黑体" w:eastAsia="黑体"/>
          <w:b/>
          <w:sz w:val="30"/>
        </w:rPr>
        <w:t>五、实证结果与分析</w:t>
      </w:r>
    </w:p>
    <w:p w14:paraId="721C77EB">
      <w:pPr>
        <w:spacing w:before="120" w:after="80"/>
      </w:pPr>
      <w:r>
        <w:rPr>
          <w:rFonts w:ascii="黑体" w:hAnsi="黑体" w:eastAsia="黑体"/>
          <w:b/>
          <w:sz w:val="26"/>
        </w:rPr>
        <w:t>5.1 综合得分排名</w:t>
      </w:r>
    </w:p>
    <w:p w14:paraId="52EAFEF8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按综合得分由高到低排序，行业财务健康度排名前三的公司为 林海股份、长安汽车、中集车辆。前 15 名公司的综合得分情况如图1所示，排名前十的明细见表2。</w:t>
      </w:r>
    </w:p>
    <w:p w14:paraId="481E28C5">
      <w:pPr>
        <w:jc w:val="center"/>
      </w:pPr>
      <w:r>
        <w:drawing>
          <wp:inline distT="0" distB="0" distL="114300" distR="114300">
            <wp:extent cx="5212080" cy="3126740"/>
            <wp:effectExtent l="0" t="0" r="7620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12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1D170"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图1 行业财务健康度综合得分 TOP15</w:t>
      </w:r>
    </w:p>
    <w:p w14:paraId="5ECC8460">
      <w:pPr>
        <w:jc w:val="center"/>
      </w:pPr>
      <w:r>
        <w:rPr>
          <w:rFonts w:ascii="楷体" w:hAnsi="楷体" w:eastAsia="楷体"/>
          <w:b w:val="0"/>
          <w:sz w:val="21"/>
        </w:rPr>
        <w:t>表2 综合得分排名前十的公司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14:paraId="133DA772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4C18B87F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排名</w:t>
            </w:r>
          </w:p>
        </w:tc>
        <w:tc>
          <w:tcPr>
            <w:tcW w:w="1234" w:type="dxa"/>
          </w:tcPr>
          <w:p w14:paraId="04D025CE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公司</w:t>
            </w:r>
          </w:p>
        </w:tc>
        <w:tc>
          <w:tcPr>
            <w:tcW w:w="1234" w:type="dxa"/>
          </w:tcPr>
          <w:p w14:paraId="24A6AC54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盈利能力</w:t>
            </w:r>
          </w:p>
        </w:tc>
        <w:tc>
          <w:tcPr>
            <w:tcW w:w="1234" w:type="dxa"/>
          </w:tcPr>
          <w:p w14:paraId="2728B8E6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偿债能力</w:t>
            </w:r>
          </w:p>
        </w:tc>
        <w:tc>
          <w:tcPr>
            <w:tcW w:w="1234" w:type="dxa"/>
          </w:tcPr>
          <w:p w14:paraId="34B55FCB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运营能力</w:t>
            </w:r>
          </w:p>
        </w:tc>
        <w:tc>
          <w:tcPr>
            <w:tcW w:w="1234" w:type="dxa"/>
          </w:tcPr>
          <w:p w14:paraId="5550B1DA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成长能力</w:t>
            </w:r>
          </w:p>
        </w:tc>
        <w:tc>
          <w:tcPr>
            <w:tcW w:w="1234" w:type="dxa"/>
          </w:tcPr>
          <w:p w14:paraId="1A800439">
            <w:pPr>
              <w:spacing w:after="0" w:line="240" w:lineRule="auto"/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综合得分</w:t>
            </w:r>
          </w:p>
        </w:tc>
      </w:tr>
      <w:tr w14:paraId="1B5E3C7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785D47F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</w:t>
            </w:r>
          </w:p>
        </w:tc>
        <w:tc>
          <w:tcPr>
            <w:tcW w:w="1234" w:type="dxa"/>
          </w:tcPr>
          <w:p w14:paraId="3109EF31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林海股份</w:t>
            </w:r>
          </w:p>
        </w:tc>
        <w:tc>
          <w:tcPr>
            <w:tcW w:w="1234" w:type="dxa"/>
          </w:tcPr>
          <w:p w14:paraId="0841352C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82.67</w:t>
            </w:r>
          </w:p>
        </w:tc>
        <w:tc>
          <w:tcPr>
            <w:tcW w:w="1234" w:type="dxa"/>
          </w:tcPr>
          <w:p w14:paraId="127D8A79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100.00</w:t>
            </w:r>
          </w:p>
        </w:tc>
        <w:tc>
          <w:tcPr>
            <w:tcW w:w="1234" w:type="dxa"/>
          </w:tcPr>
          <w:p w14:paraId="24BB913F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33.12</w:t>
            </w:r>
          </w:p>
        </w:tc>
        <w:tc>
          <w:tcPr>
            <w:tcW w:w="1234" w:type="dxa"/>
          </w:tcPr>
          <w:p w14:paraId="7C61570F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56.28</w:t>
            </w:r>
          </w:p>
        </w:tc>
        <w:tc>
          <w:tcPr>
            <w:tcW w:w="1234" w:type="dxa"/>
          </w:tcPr>
          <w:p w14:paraId="53F0DF7A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68.02</w:t>
            </w:r>
          </w:p>
        </w:tc>
      </w:tr>
      <w:tr w14:paraId="06CCE89D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2B7A3F1C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2</w:t>
            </w:r>
          </w:p>
        </w:tc>
        <w:tc>
          <w:tcPr>
            <w:tcW w:w="1234" w:type="dxa"/>
          </w:tcPr>
          <w:p w14:paraId="057EBD26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长安汽车</w:t>
            </w:r>
          </w:p>
        </w:tc>
        <w:tc>
          <w:tcPr>
            <w:tcW w:w="1234" w:type="dxa"/>
          </w:tcPr>
          <w:p w14:paraId="590A5B11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92.92</w:t>
            </w:r>
          </w:p>
        </w:tc>
        <w:tc>
          <w:tcPr>
            <w:tcW w:w="1234" w:type="dxa"/>
          </w:tcPr>
          <w:p w14:paraId="59893EEE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41.81</w:t>
            </w:r>
          </w:p>
        </w:tc>
        <w:tc>
          <w:tcPr>
            <w:tcW w:w="1234" w:type="dxa"/>
          </w:tcPr>
          <w:p w14:paraId="66C753D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72.66</w:t>
            </w:r>
          </w:p>
        </w:tc>
        <w:tc>
          <w:tcPr>
            <w:tcW w:w="1234" w:type="dxa"/>
          </w:tcPr>
          <w:p w14:paraId="16EFDFA1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62.53</w:t>
            </w:r>
          </w:p>
        </w:tc>
        <w:tc>
          <w:tcPr>
            <w:tcW w:w="1234" w:type="dxa"/>
          </w:tcPr>
          <w:p w14:paraId="53B16A8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67.48</w:t>
            </w:r>
          </w:p>
        </w:tc>
      </w:tr>
      <w:tr w14:paraId="6DBBC80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333A6086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</w:t>
            </w:r>
          </w:p>
        </w:tc>
        <w:tc>
          <w:tcPr>
            <w:tcW w:w="1234" w:type="dxa"/>
          </w:tcPr>
          <w:p w14:paraId="2C861259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中集车辆</w:t>
            </w:r>
          </w:p>
        </w:tc>
        <w:tc>
          <w:tcPr>
            <w:tcW w:w="1234" w:type="dxa"/>
          </w:tcPr>
          <w:p w14:paraId="214AB429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90.85</w:t>
            </w:r>
          </w:p>
        </w:tc>
        <w:tc>
          <w:tcPr>
            <w:tcW w:w="1234" w:type="dxa"/>
          </w:tcPr>
          <w:p w14:paraId="12C63D7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68.94</w:t>
            </w:r>
          </w:p>
        </w:tc>
        <w:tc>
          <w:tcPr>
            <w:tcW w:w="1234" w:type="dxa"/>
          </w:tcPr>
          <w:p w14:paraId="1F3D5E0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37.23</w:t>
            </w:r>
          </w:p>
        </w:tc>
        <w:tc>
          <w:tcPr>
            <w:tcW w:w="1234" w:type="dxa"/>
          </w:tcPr>
          <w:p w14:paraId="47DE88C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44.42</w:t>
            </w:r>
          </w:p>
        </w:tc>
        <w:tc>
          <w:tcPr>
            <w:tcW w:w="1234" w:type="dxa"/>
          </w:tcPr>
          <w:p w14:paraId="5F9D6F7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60.36</w:t>
            </w:r>
          </w:p>
        </w:tc>
      </w:tr>
      <w:tr w14:paraId="0FC97944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20880E4A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</w:t>
            </w:r>
          </w:p>
        </w:tc>
        <w:tc>
          <w:tcPr>
            <w:tcW w:w="1234" w:type="dxa"/>
          </w:tcPr>
          <w:p w14:paraId="4EDC539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江铃汽车</w:t>
            </w:r>
          </w:p>
        </w:tc>
        <w:tc>
          <w:tcPr>
            <w:tcW w:w="1234" w:type="dxa"/>
          </w:tcPr>
          <w:p w14:paraId="4F1F4BA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89.63</w:t>
            </w:r>
          </w:p>
        </w:tc>
        <w:tc>
          <w:tcPr>
            <w:tcW w:w="1234" w:type="dxa"/>
          </w:tcPr>
          <w:p w14:paraId="46A853C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30.23</w:t>
            </w:r>
          </w:p>
        </w:tc>
        <w:tc>
          <w:tcPr>
            <w:tcW w:w="1234" w:type="dxa"/>
          </w:tcPr>
          <w:p w14:paraId="7B95255A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68.05</w:t>
            </w:r>
          </w:p>
        </w:tc>
        <w:tc>
          <w:tcPr>
            <w:tcW w:w="1234" w:type="dxa"/>
          </w:tcPr>
          <w:p w14:paraId="10FBC2C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49.46</w:t>
            </w:r>
          </w:p>
        </w:tc>
        <w:tc>
          <w:tcPr>
            <w:tcW w:w="1234" w:type="dxa"/>
          </w:tcPr>
          <w:p w14:paraId="3D9C002B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59.34</w:t>
            </w:r>
          </w:p>
        </w:tc>
      </w:tr>
      <w:tr w14:paraId="27B494AC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45240966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</w:t>
            </w:r>
          </w:p>
        </w:tc>
        <w:tc>
          <w:tcPr>
            <w:tcW w:w="1234" w:type="dxa"/>
          </w:tcPr>
          <w:p w14:paraId="4D32151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中国重汽</w:t>
            </w:r>
          </w:p>
        </w:tc>
        <w:tc>
          <w:tcPr>
            <w:tcW w:w="1234" w:type="dxa"/>
          </w:tcPr>
          <w:p w14:paraId="76C482EF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82.67</w:t>
            </w:r>
          </w:p>
        </w:tc>
        <w:tc>
          <w:tcPr>
            <w:tcW w:w="1234" w:type="dxa"/>
          </w:tcPr>
          <w:p w14:paraId="14F94D1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42.99</w:t>
            </w:r>
          </w:p>
        </w:tc>
        <w:tc>
          <w:tcPr>
            <w:tcW w:w="1234" w:type="dxa"/>
          </w:tcPr>
          <w:p w14:paraId="431B92D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53.16</w:t>
            </w:r>
          </w:p>
        </w:tc>
        <w:tc>
          <w:tcPr>
            <w:tcW w:w="1234" w:type="dxa"/>
          </w:tcPr>
          <w:p w14:paraId="2C908E7F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56.63</w:t>
            </w:r>
          </w:p>
        </w:tc>
        <w:tc>
          <w:tcPr>
            <w:tcW w:w="1234" w:type="dxa"/>
          </w:tcPr>
          <w:p w14:paraId="29F92ED6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58.86</w:t>
            </w:r>
          </w:p>
        </w:tc>
      </w:tr>
      <w:tr w14:paraId="7593430F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2D3E46B1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</w:t>
            </w:r>
          </w:p>
        </w:tc>
        <w:tc>
          <w:tcPr>
            <w:tcW w:w="1234" w:type="dxa"/>
          </w:tcPr>
          <w:p w14:paraId="1A2B4E1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一汽解放</w:t>
            </w:r>
          </w:p>
        </w:tc>
        <w:tc>
          <w:tcPr>
            <w:tcW w:w="1234" w:type="dxa"/>
          </w:tcPr>
          <w:p w14:paraId="4B6326D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81.45</w:t>
            </w:r>
          </w:p>
        </w:tc>
        <w:tc>
          <w:tcPr>
            <w:tcW w:w="1234" w:type="dxa"/>
          </w:tcPr>
          <w:p w14:paraId="7109909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36.19</w:t>
            </w:r>
          </w:p>
        </w:tc>
        <w:tc>
          <w:tcPr>
            <w:tcW w:w="1234" w:type="dxa"/>
          </w:tcPr>
          <w:p w14:paraId="5D3722EA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77.28</w:t>
            </w:r>
          </w:p>
        </w:tc>
        <w:tc>
          <w:tcPr>
            <w:tcW w:w="1234" w:type="dxa"/>
          </w:tcPr>
          <w:p w14:paraId="344CE73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39.86</w:t>
            </w:r>
          </w:p>
        </w:tc>
        <w:tc>
          <w:tcPr>
            <w:tcW w:w="1234" w:type="dxa"/>
          </w:tcPr>
          <w:p w14:paraId="7C83E56E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58.70</w:t>
            </w:r>
          </w:p>
        </w:tc>
      </w:tr>
      <w:tr w14:paraId="5352BF6D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01F9744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</w:t>
            </w:r>
          </w:p>
        </w:tc>
        <w:tc>
          <w:tcPr>
            <w:tcW w:w="1234" w:type="dxa"/>
          </w:tcPr>
          <w:p w14:paraId="658D8CB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长城汽车</w:t>
            </w:r>
          </w:p>
        </w:tc>
        <w:tc>
          <w:tcPr>
            <w:tcW w:w="1234" w:type="dxa"/>
          </w:tcPr>
          <w:p w14:paraId="7A4CB1F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95.12</w:t>
            </w:r>
          </w:p>
        </w:tc>
        <w:tc>
          <w:tcPr>
            <w:tcW w:w="1234" w:type="dxa"/>
          </w:tcPr>
          <w:p w14:paraId="689FCBC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32.21</w:t>
            </w:r>
          </w:p>
        </w:tc>
        <w:tc>
          <w:tcPr>
            <w:tcW w:w="1234" w:type="dxa"/>
          </w:tcPr>
          <w:p w14:paraId="2995454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47.46</w:t>
            </w:r>
          </w:p>
        </w:tc>
        <w:tc>
          <w:tcPr>
            <w:tcW w:w="1234" w:type="dxa"/>
          </w:tcPr>
          <w:p w14:paraId="6657AD2E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59.13</w:t>
            </w:r>
          </w:p>
        </w:tc>
        <w:tc>
          <w:tcPr>
            <w:tcW w:w="1234" w:type="dxa"/>
          </w:tcPr>
          <w:p w14:paraId="79449F3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58.48</w:t>
            </w:r>
          </w:p>
        </w:tc>
      </w:tr>
      <w:tr w14:paraId="71A73D64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01FD1107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</w:t>
            </w:r>
          </w:p>
        </w:tc>
        <w:tc>
          <w:tcPr>
            <w:tcW w:w="1234" w:type="dxa"/>
          </w:tcPr>
          <w:p w14:paraId="55F2E71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比亚迪</w:t>
            </w:r>
          </w:p>
        </w:tc>
        <w:tc>
          <w:tcPr>
            <w:tcW w:w="1234" w:type="dxa"/>
          </w:tcPr>
          <w:p w14:paraId="036A845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95.28</w:t>
            </w:r>
          </w:p>
        </w:tc>
        <w:tc>
          <w:tcPr>
            <w:tcW w:w="1234" w:type="dxa"/>
          </w:tcPr>
          <w:p w14:paraId="5B8357A2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12.60</w:t>
            </w:r>
          </w:p>
        </w:tc>
        <w:tc>
          <w:tcPr>
            <w:tcW w:w="1234" w:type="dxa"/>
          </w:tcPr>
          <w:p w14:paraId="21736C58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32.21</w:t>
            </w:r>
          </w:p>
        </w:tc>
        <w:tc>
          <w:tcPr>
            <w:tcW w:w="1234" w:type="dxa"/>
          </w:tcPr>
          <w:p w14:paraId="69AF41E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86.54</w:t>
            </w:r>
          </w:p>
        </w:tc>
        <w:tc>
          <w:tcPr>
            <w:tcW w:w="1234" w:type="dxa"/>
          </w:tcPr>
          <w:p w14:paraId="1B5C71F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56.66</w:t>
            </w:r>
          </w:p>
        </w:tc>
      </w:tr>
      <w:tr w14:paraId="7F89B54C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57BAC870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</w:t>
            </w:r>
          </w:p>
        </w:tc>
        <w:tc>
          <w:tcPr>
            <w:tcW w:w="1234" w:type="dxa"/>
          </w:tcPr>
          <w:p w14:paraId="12EE692C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广汽集团</w:t>
            </w:r>
          </w:p>
        </w:tc>
        <w:tc>
          <w:tcPr>
            <w:tcW w:w="1234" w:type="dxa"/>
          </w:tcPr>
          <w:p w14:paraId="171CC5E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80.89</w:t>
            </w:r>
          </w:p>
        </w:tc>
        <w:tc>
          <w:tcPr>
            <w:tcW w:w="1234" w:type="dxa"/>
          </w:tcPr>
          <w:p w14:paraId="20BE4C1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56.93</w:t>
            </w:r>
          </w:p>
        </w:tc>
        <w:tc>
          <w:tcPr>
            <w:tcW w:w="1234" w:type="dxa"/>
          </w:tcPr>
          <w:p w14:paraId="60504F05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33.70</w:t>
            </w:r>
          </w:p>
        </w:tc>
        <w:tc>
          <w:tcPr>
            <w:tcW w:w="1234" w:type="dxa"/>
          </w:tcPr>
          <w:p w14:paraId="3D9FAB23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54.88</w:t>
            </w:r>
          </w:p>
        </w:tc>
        <w:tc>
          <w:tcPr>
            <w:tcW w:w="1234" w:type="dxa"/>
          </w:tcPr>
          <w:p w14:paraId="573F446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56.60</w:t>
            </w:r>
          </w:p>
        </w:tc>
      </w:tr>
      <w:tr w14:paraId="03063BBE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4" w:type="dxa"/>
          </w:tcPr>
          <w:p w14:paraId="5E2E53C4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</w:t>
            </w:r>
          </w:p>
        </w:tc>
        <w:tc>
          <w:tcPr>
            <w:tcW w:w="1234" w:type="dxa"/>
          </w:tcPr>
          <w:p w14:paraId="4F1CFAC2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赛力斯</w:t>
            </w:r>
          </w:p>
        </w:tc>
        <w:tc>
          <w:tcPr>
            <w:tcW w:w="1234" w:type="dxa"/>
          </w:tcPr>
          <w:p w14:paraId="538DFF62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70.13</w:t>
            </w:r>
          </w:p>
        </w:tc>
        <w:tc>
          <w:tcPr>
            <w:tcW w:w="1234" w:type="dxa"/>
          </w:tcPr>
          <w:p w14:paraId="298EA16B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6.79</w:t>
            </w:r>
          </w:p>
        </w:tc>
        <w:tc>
          <w:tcPr>
            <w:tcW w:w="1234" w:type="dxa"/>
          </w:tcPr>
          <w:p w14:paraId="0DA6EF86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59.58</w:t>
            </w:r>
          </w:p>
        </w:tc>
        <w:tc>
          <w:tcPr>
            <w:tcW w:w="1234" w:type="dxa"/>
          </w:tcPr>
          <w:p w14:paraId="7927B96D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83.78</w:t>
            </w:r>
          </w:p>
        </w:tc>
        <w:tc>
          <w:tcPr>
            <w:tcW w:w="1234" w:type="dxa"/>
          </w:tcPr>
          <w:p w14:paraId="0D023372">
            <w:pPr>
              <w:spacing w:after="0" w:line="240" w:lineRule="auto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55.07</w:t>
            </w:r>
          </w:p>
        </w:tc>
      </w:tr>
    </w:tbl>
    <w:p w14:paraId="0D4D1B76">
      <w:pPr>
        <w:spacing w:after="80"/>
      </w:pPr>
    </w:p>
    <w:p w14:paraId="50243E4A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从结果看，林海股份以 68.02 分位居首位，整体财务健康度在行业中表现均衡；头部公司之间得分差距不大，反映出新能源整车行业头部竞争激烈、综合实力较为接近的特征。</w:t>
      </w:r>
    </w:p>
    <w:p w14:paraId="68622ED0">
      <w:pPr>
        <w:spacing w:before="120" w:after="80"/>
      </w:pPr>
      <w:r>
        <w:rPr>
          <w:rFonts w:ascii="黑体" w:hAnsi="黑体" w:eastAsia="黑体"/>
          <w:b/>
          <w:sz w:val="26"/>
        </w:rPr>
        <w:t>5.2 四维度特征分析</w:t>
      </w:r>
    </w:p>
    <w:p w14:paraId="4A151F8B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从行业四维度平均得分（图4）看，行业在“盈利能力”维度平均得分最高（75.1分），而“偿债能力”维度平均得分最低（34.8分），是行业的共性短板。这与新能源整车企业普遍处于扩张投入期、资本性支出大、负债水平偏高的现实相符。</w:t>
      </w:r>
    </w:p>
    <w:p w14:paraId="12CEADFB">
      <w:pPr>
        <w:jc w:val="center"/>
      </w:pPr>
      <w:r>
        <w:drawing>
          <wp:inline distT="0" distB="0" distL="114300" distR="114300">
            <wp:extent cx="5212080" cy="325755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25DDF"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图4 行业四维度平均得分</w:t>
      </w:r>
    </w:p>
    <w:p w14:paraId="2D811FFF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进一步观察前 12 名公司的四维度得分热力图（图2），可以发现不同公司的优势维度存在明显差异：部分公司盈利能力突出但偿债维度偏弱，部分公司则在运营效率上更具优势，说明企业的财务健康并非单一维度领先，而是各有侧重。</w:t>
      </w:r>
    </w:p>
    <w:p w14:paraId="2CF8BA7D">
      <w:pPr>
        <w:jc w:val="center"/>
      </w:pPr>
      <w:r>
        <w:drawing>
          <wp:inline distT="0" distB="0" distL="114300" distR="114300">
            <wp:extent cx="5212080" cy="4560570"/>
            <wp:effectExtent l="0" t="0" r="7620" b="114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456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B2166"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图2 TOP12 公司四维度得分热力图</w:t>
      </w:r>
    </w:p>
    <w:p w14:paraId="6F9AC5CB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分维度看，宇通客车在盈利能力维度领先，一汽解放在运营能力维度表现最佳，林海股份的偿债维度得分最高，比亚迪则在成长能力维度居前，体现出行业内“多强并存、各擅其长”的竞争格局。</w:t>
      </w:r>
    </w:p>
    <w:p w14:paraId="5D9BCA86">
      <w:pPr>
        <w:spacing w:before="120" w:after="80"/>
      </w:pPr>
      <w:r>
        <w:rPr>
          <w:rFonts w:ascii="黑体" w:hAnsi="黑体" w:eastAsia="黑体"/>
          <w:b/>
          <w:sz w:val="26"/>
        </w:rPr>
        <w:t>5.3 龙头企业能力画像</w:t>
      </w:r>
    </w:p>
    <w:p w14:paraId="4603EA46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选取综合得分前五的公司绘制四维度能力雷达图（图3），用以刻画龙头企业的能力结构。</w:t>
      </w:r>
    </w:p>
    <w:p w14:paraId="312DF4C7">
      <w:pPr>
        <w:jc w:val="center"/>
      </w:pPr>
      <w:r>
        <w:drawing>
          <wp:inline distT="0" distB="0" distL="114300" distR="114300">
            <wp:extent cx="5212080" cy="5212080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DC5B9"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图3 TOP5 公司四维度能力雷达图</w:t>
      </w:r>
    </w:p>
    <w:p w14:paraId="5F8CE300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以行业代表企业比亚迪为例，其盈利能力（95.3）与成长能力（86.5）得分突出，但偿债能力（12.6）相对较低，呈现“高成长、高盈利、高杠杆”的典型特征，与公司大规模产能扩张和垂直一体化布局的战略相吻合。</w:t>
      </w:r>
    </w:p>
    <w:p w14:paraId="02622352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总体而言，龙头企业雷达图普遍呈现“盈利、成长强，偿债弱”的形态，说明行业目前仍以规模扩张和市场份额争夺为主导，财务结构的稳健性有待进一步改善。</w:t>
      </w:r>
    </w:p>
    <w:p w14:paraId="1A96D404">
      <w:pPr>
        <w:spacing w:before="200" w:after="120"/>
      </w:pPr>
      <w:r>
        <w:rPr>
          <w:rFonts w:ascii="黑体" w:hAnsi="黑体" w:eastAsia="黑体"/>
          <w:b/>
          <w:sz w:val="30"/>
        </w:rPr>
        <w:t>六、结论与建议</w:t>
      </w:r>
    </w:p>
    <w:p w14:paraId="54EFD56A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第一，新能源汽车整车行业整体财务健康度呈现头部集中、梯队分化的格局，林海股份、长安汽车、中集车辆等公司综合表现领先。第二，行业的共性短板集中在偿债能力维度，企业普遍面临较高的负债压力，需警惕扩张过程中的财务风险。第三，盈利与成长是行业当前的核心驱动，但可持续的财务健康还需要运营效率与偿债能力的同步提升。</w:t>
      </w:r>
    </w:p>
    <w:p w14:paraId="5701B78A"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建议：对企业而言，应在保持成长性的同时优化资本结构、控制杠杆水平，提升存货与应收账款的周转效率；对投资者而言，应结合四个维度综合研判，避免仅以营收或销量作为判断依据，重点</w:t>
      </w:r>
      <w:bookmarkStart w:id="0" w:name="_GoBack"/>
      <w:bookmarkEnd w:id="0"/>
      <w:r>
        <w:rPr>
          <w:rFonts w:ascii="宋体" w:hAnsi="宋体" w:eastAsia="宋体"/>
          <w:b w:val="0"/>
          <w:sz w:val="24"/>
        </w:rPr>
        <w:t>关注盈利质量与偿债安全边际兼顾的标的。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6DC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1059</Words>
  <Characters>1136</Characters>
  <Lines>0</Lines>
  <Paragraphs>0</Paragraphs>
  <TotalTime>0</TotalTime>
  <ScaleCrop>false</ScaleCrop>
  <LinksUpToDate>false</LinksUpToDate>
  <CharactersWithSpaces>1169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2026-06-25T00:49:10Z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717A9B8247054569BC6665010DD74678_12</vt:lpwstr>
  </property>
</Properties>
</file>