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AFC78">
      <w:pPr>
        <w:spacing w:after="240"/>
        <w:jc w:val="center"/>
      </w:pPr>
      <w:r>
        <w:rPr>
          <w:rFonts w:ascii="黑体" w:hAnsi="黑体" w:eastAsia="黑体"/>
          <w:b/>
          <w:sz w:val="36"/>
        </w:rPr>
        <w:t>基于决策树的上市公司财务舞弊预测研究报告</w:t>
      </w:r>
    </w:p>
    <w:p w14:paraId="4A04E190">
      <w:pPr>
        <w:spacing w:before="200" w:after="120"/>
      </w:pPr>
      <w:r>
        <w:rPr>
          <w:rFonts w:ascii="黑体" w:hAnsi="黑体" w:eastAsia="黑体"/>
          <w:b/>
          <w:sz w:val="30"/>
        </w:rPr>
        <w:t>一、研究背景与目标</w:t>
      </w:r>
    </w:p>
    <w:p w14:paraId="4BB6432D">
      <w:pPr>
        <w:spacing w:line="360" w:lineRule="auto"/>
        <w:ind w:firstLine="480"/>
      </w:pPr>
      <w:r>
        <w:rPr>
          <w:rFonts w:ascii="宋体" w:hAnsi="宋体" w:eastAsia="宋体"/>
          <w:b w:val="0"/>
          <w:sz w:val="24"/>
        </w:rPr>
        <w:t>上市公司财务舞弊与违规行为严重损害资本市场的信息透明度与投资者利益。随着监管力度加大，如何借助公开财务数据提前识别潜在违规公司，成为财务分析与风险预警领域的重要课题。机器学习方法能够从多维财务特征中挖掘违规公司的共性规律，为风险识别提供量化工具。</w:t>
      </w:r>
      <w:bookmarkStart w:id="0" w:name="_GoBack"/>
    </w:p>
    <w:bookmarkEnd w:id="0"/>
    <w:p w14:paraId="1E0E92B6">
      <w:pPr>
        <w:spacing w:line="360" w:lineRule="auto"/>
        <w:ind w:firstLine="480"/>
      </w:pPr>
      <w:r>
        <w:rPr>
          <w:rFonts w:ascii="宋体" w:hAnsi="宋体" w:eastAsia="宋体"/>
          <w:b w:val="0"/>
          <w:sz w:val="24"/>
        </w:rPr>
        <w:t>本报告以决策树为核心算法，结合 CSMAR 违规样本与 Tushare 财务特征，构建上市公司舞弊（违规）预测模型，完成数据采集、预处理、模型训练、特征重要性分析与参数调优的完整流程，并评估模型的预测效果。</w:t>
      </w:r>
    </w:p>
    <w:p w14:paraId="36E52715">
      <w:pPr>
        <w:spacing w:before="200" w:after="120"/>
      </w:pPr>
      <w:r>
        <w:rPr>
          <w:rFonts w:ascii="黑体" w:hAnsi="黑体" w:eastAsia="黑体"/>
          <w:b/>
          <w:sz w:val="30"/>
        </w:rPr>
        <w:t>二、数据来源</w:t>
      </w:r>
    </w:p>
    <w:p w14:paraId="1B094408">
      <w:pPr>
        <w:spacing w:before="120" w:after="80"/>
      </w:pPr>
      <w:r>
        <w:rPr>
          <w:rFonts w:ascii="黑体" w:hAnsi="黑体" w:eastAsia="黑体"/>
          <w:b/>
          <w:sz w:val="26"/>
        </w:rPr>
        <w:t>2.1 舞弊样本数据</w:t>
      </w:r>
    </w:p>
    <w:p w14:paraId="485ACE0E">
      <w:pPr>
        <w:spacing w:line="360" w:lineRule="auto"/>
        <w:ind w:firstLine="480"/>
      </w:pPr>
      <w:r>
        <w:rPr>
          <w:rFonts w:ascii="宋体" w:hAnsi="宋体" w:eastAsia="宋体"/>
          <w:b w:val="0"/>
          <w:sz w:val="24"/>
        </w:rPr>
        <w:t>舞弊样本来自 CSMAR 数据库的上市公司违规主表（STK_Violation_Main.xlsx），记录了各公司在不同时间是否存在违规（Y 表示违规、N 表示未违规）。本文在公司层面进行汇总，只要公司历史上出现过违规即标记为舞弊公司（label=1），否则为非舞弊公司（label=0）。</w:t>
      </w:r>
    </w:p>
    <w:p w14:paraId="73C2D4D5">
      <w:pPr>
        <w:spacing w:before="120" w:after="80"/>
      </w:pPr>
      <w:r>
        <w:rPr>
          <w:rFonts w:ascii="黑体" w:hAnsi="黑体" w:eastAsia="黑体"/>
          <w:b/>
          <w:sz w:val="26"/>
        </w:rPr>
        <w:t>2.2 财务特征数据</w:t>
      </w:r>
    </w:p>
    <w:p w14:paraId="69A1F4FF">
      <w:pPr>
        <w:spacing w:line="360" w:lineRule="auto"/>
        <w:ind w:firstLine="480"/>
      </w:pPr>
      <w:r>
        <w:rPr>
          <w:rFonts w:ascii="宋体" w:hAnsi="宋体" w:eastAsia="宋体"/>
          <w:b w:val="0"/>
          <w:sz w:val="24"/>
        </w:rPr>
        <w:t>财务特征来自 Tushare Pro 财务指标接口（fina_indicator），选取 2021 年年报数据，涵盖盈利、偿债、运营、成长及每股指标共 32 个财务特征，满足 30 个以上特征的要求。</w:t>
      </w:r>
    </w:p>
    <w:p w14:paraId="1EAC411D">
      <w:pPr>
        <w:spacing w:before="200" w:after="120"/>
      </w:pPr>
      <w:r>
        <w:rPr>
          <w:rFonts w:ascii="黑体" w:hAnsi="黑体" w:eastAsia="黑体"/>
          <w:b/>
          <w:sz w:val="30"/>
        </w:rPr>
        <w:t>三、样本构建与抽样</w:t>
      </w:r>
    </w:p>
    <w:p w14:paraId="4ADF06B3">
      <w:pPr>
        <w:spacing w:line="360" w:lineRule="auto"/>
        <w:ind w:firstLine="480"/>
      </w:pPr>
      <w:r>
        <w:rPr>
          <w:rFonts w:ascii="宋体" w:hAnsi="宋体" w:eastAsia="宋体"/>
          <w:b w:val="0"/>
          <w:sz w:val="24"/>
        </w:rPr>
        <w:t>由于全部违规样本数据量较大，本文按原样本中舞弊与非舞弊公司的比例进行随机抽样，抽取 300 家以上公司构建数据集。最终成功采集到 350 家公司的完整数据，其中舞弊公司250 家、非舞弊公司 100 家，舞弊占比约 71.4%，与原样本比例保持一致。</w:t>
      </w:r>
    </w:p>
    <w:p w14:paraId="0A949D0D">
      <w:pPr>
        <w:spacing w:before="200" w:after="120"/>
      </w:pPr>
      <w:r>
        <w:rPr>
          <w:rFonts w:ascii="黑体" w:hAnsi="黑体" w:eastAsia="黑体"/>
          <w:b/>
          <w:sz w:val="30"/>
        </w:rPr>
        <w:t>四、数据预处理</w:t>
      </w:r>
    </w:p>
    <w:p w14:paraId="2550D41C">
      <w:pPr>
        <w:spacing w:line="360" w:lineRule="auto"/>
        <w:ind w:firstLine="480"/>
      </w:pPr>
      <w:r>
        <w:rPr>
          <w:rFonts w:ascii="宋体" w:hAnsi="宋体" w:eastAsia="宋体"/>
          <w:b w:val="0"/>
          <w:sz w:val="24"/>
        </w:rPr>
        <w:t>为保证建模数据质量，依次进行以下预处理：</w:t>
      </w:r>
    </w:p>
    <w:p w14:paraId="197EEEA7">
      <w:pPr>
        <w:spacing w:line="360" w:lineRule="auto"/>
        <w:ind w:firstLine="480"/>
      </w:pPr>
      <w:r>
        <w:rPr>
          <w:rFonts w:ascii="宋体" w:hAnsi="宋体" w:eastAsia="宋体"/>
          <w:b w:val="0"/>
          <w:sz w:val="24"/>
        </w:rPr>
        <w:t>（1）缺失值处理：删除缺失比例超过 40% 的特征列，其余特征的缺失值采用中位数填充；</w:t>
      </w:r>
    </w:p>
    <w:p w14:paraId="3F5F1608">
      <w:pPr>
        <w:spacing w:line="360" w:lineRule="auto"/>
        <w:ind w:firstLine="480"/>
      </w:pPr>
      <w:r>
        <w:rPr>
          <w:rFonts w:ascii="宋体" w:hAnsi="宋体" w:eastAsia="宋体"/>
          <w:b w:val="0"/>
          <w:sz w:val="24"/>
        </w:rPr>
        <w:t>（2）异常值处理：对各特征按 1%/99% 分位进行缩尾，抑制极端值对模型的干扰；</w:t>
      </w:r>
    </w:p>
    <w:p w14:paraId="105AB811">
      <w:pPr>
        <w:spacing w:line="360" w:lineRule="auto"/>
        <w:ind w:firstLine="480"/>
      </w:pPr>
      <w:r>
        <w:rPr>
          <w:rFonts w:ascii="宋体" w:hAnsi="宋体" w:eastAsia="宋体"/>
          <w:b w:val="0"/>
          <w:sz w:val="24"/>
        </w:rPr>
        <w:t>（3）特征工程：以标准化后的财务比率作为模型输入特征，构建特征矩阵 X 与标签 y；</w:t>
      </w:r>
    </w:p>
    <w:p w14:paraId="7C3C53CC">
      <w:pPr>
        <w:spacing w:line="360" w:lineRule="auto"/>
        <w:ind w:firstLine="480"/>
      </w:pPr>
      <w:r>
        <w:rPr>
          <w:rFonts w:ascii="宋体" w:hAnsi="宋体" w:eastAsia="宋体"/>
          <w:b w:val="0"/>
          <w:sz w:val="24"/>
        </w:rPr>
        <w:t>（4）数据集划分：按 7:3 比例采用分层抽样划分训练集与测试集，保证两者中舞弊与非舞弊公司的比例一致；</w:t>
      </w:r>
    </w:p>
    <w:p w14:paraId="482593D1">
      <w:pPr>
        <w:spacing w:line="360" w:lineRule="auto"/>
        <w:ind w:firstLine="480"/>
      </w:pPr>
      <w:r>
        <w:rPr>
          <w:rFonts w:ascii="宋体" w:hAnsi="宋体" w:eastAsia="宋体"/>
          <w:b w:val="0"/>
          <w:sz w:val="24"/>
        </w:rPr>
        <w:t>（5）过采样：针对训练集类别不平衡问题，对少数类（非舞弊公司）进行随机过采样，使训练集中两类样本数量均衡，从而避免模型偏向多数类。</w:t>
      </w:r>
    </w:p>
    <w:p w14:paraId="3F6A5EDE">
      <w:pPr>
        <w:spacing w:before="200" w:after="120"/>
      </w:pPr>
      <w:r>
        <w:rPr>
          <w:rFonts w:ascii="黑体" w:hAnsi="黑体" w:eastAsia="黑体"/>
          <w:b/>
          <w:sz w:val="30"/>
        </w:rPr>
        <w:t>五、决策树模型构建与评估</w:t>
      </w:r>
    </w:p>
    <w:p w14:paraId="0F3F4FDC">
      <w:pPr>
        <w:spacing w:line="360" w:lineRule="auto"/>
        <w:ind w:firstLine="480"/>
      </w:pPr>
      <w:r>
        <w:rPr>
          <w:rFonts w:ascii="宋体" w:hAnsi="宋体" w:eastAsia="宋体"/>
          <w:b w:val="0"/>
          <w:sz w:val="24"/>
        </w:rPr>
        <w:t>采用 scikit-learn 的 DecisionTreeClassifier 在过采样后的训练集上训练决策树模型，并在测试集上评估。模型在测试集上的混淆矩阵如图1所示。</w:t>
      </w:r>
    </w:p>
    <w:p w14:paraId="09268598">
      <w:pPr>
        <w:jc w:val="center"/>
      </w:pPr>
      <w:r>
        <w:drawing>
          <wp:inline distT="0" distB="0" distL="114300" distR="114300">
            <wp:extent cx="5212080" cy="437769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5212080" cy="4378147"/>
                    </a:xfrm>
                    <a:prstGeom prst="rect">
                      <a:avLst/>
                    </a:prstGeom>
                  </pic:spPr>
                </pic:pic>
              </a:graphicData>
            </a:graphic>
          </wp:inline>
        </w:drawing>
      </w:r>
    </w:p>
    <w:p w14:paraId="019874DE">
      <w:pPr>
        <w:spacing w:after="160"/>
        <w:jc w:val="center"/>
      </w:pPr>
      <w:r>
        <w:rPr>
          <w:rFonts w:ascii="楷体" w:hAnsi="楷体" w:eastAsia="楷体"/>
          <w:b w:val="0"/>
          <w:sz w:val="21"/>
        </w:rPr>
        <w:t>图1 决策树模型在测试集上的混淆矩阵</w:t>
      </w:r>
    </w:p>
    <w:p w14:paraId="1987AA3F">
      <w:pPr>
        <w:jc w:val="center"/>
      </w:pPr>
      <w:r>
        <w:rPr>
          <w:rFonts w:ascii="楷体" w:hAnsi="楷体" w:eastAsia="楷体"/>
          <w:b w:val="0"/>
          <w:sz w:val="21"/>
        </w:rPr>
        <w:t>表1 模型调参前后测试集评估指标对比</w:t>
      </w:r>
    </w:p>
    <w:tbl>
      <w:tblPr>
        <w:tblStyle w:val="49"/>
        <w:tblW w:w="0" w:type="auto"/>
        <w:jc w:val="cente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autofit"/>
        <w:tblCellMar>
          <w:top w:w="0" w:type="dxa"/>
          <w:left w:w="108" w:type="dxa"/>
          <w:bottom w:w="0" w:type="dxa"/>
          <w:right w:w="108" w:type="dxa"/>
        </w:tblCellMar>
      </w:tblPr>
      <w:tblGrid>
        <w:gridCol w:w="2880"/>
        <w:gridCol w:w="2880"/>
        <w:gridCol w:w="2880"/>
      </w:tblGrid>
      <w:tr w14:paraId="318151BB">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2880" w:type="dxa"/>
          </w:tcPr>
          <w:p w14:paraId="11D06038">
            <w:pPr>
              <w:spacing w:after="0" w:line="240" w:lineRule="auto"/>
              <w:jc w:val="center"/>
              <w:rPr>
                <w:color w:val="auto"/>
              </w:rPr>
            </w:pPr>
            <w:r>
              <w:rPr>
                <w:rFonts w:ascii="黑体" w:hAnsi="黑体" w:eastAsia="黑体"/>
                <w:b/>
                <w:color w:val="auto"/>
                <w:sz w:val="21"/>
              </w:rPr>
              <w:t>评估指标</w:t>
            </w:r>
          </w:p>
        </w:tc>
        <w:tc>
          <w:tcPr>
            <w:tcW w:w="2880" w:type="dxa"/>
          </w:tcPr>
          <w:p w14:paraId="3D339D73">
            <w:pPr>
              <w:spacing w:after="0" w:line="240" w:lineRule="auto"/>
              <w:jc w:val="center"/>
              <w:rPr>
                <w:color w:val="auto"/>
              </w:rPr>
            </w:pPr>
            <w:r>
              <w:rPr>
                <w:rFonts w:ascii="黑体" w:hAnsi="黑体" w:eastAsia="黑体"/>
                <w:b/>
                <w:color w:val="auto"/>
                <w:sz w:val="21"/>
              </w:rPr>
              <w:t>调参前</w:t>
            </w:r>
          </w:p>
        </w:tc>
        <w:tc>
          <w:tcPr>
            <w:tcW w:w="2880" w:type="dxa"/>
          </w:tcPr>
          <w:p w14:paraId="6DFB7516">
            <w:pPr>
              <w:spacing w:after="0" w:line="240" w:lineRule="auto"/>
              <w:jc w:val="center"/>
              <w:rPr>
                <w:color w:val="auto"/>
              </w:rPr>
            </w:pPr>
            <w:r>
              <w:rPr>
                <w:rFonts w:ascii="黑体" w:hAnsi="黑体" w:eastAsia="黑体"/>
                <w:b/>
                <w:color w:val="auto"/>
                <w:sz w:val="21"/>
              </w:rPr>
              <w:t>调参后</w:t>
            </w:r>
          </w:p>
        </w:tc>
      </w:tr>
      <w:tr w14:paraId="07BFAA6F">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2880" w:type="dxa"/>
          </w:tcPr>
          <w:p w14:paraId="4B375648">
            <w:pPr>
              <w:spacing w:after="0" w:line="240" w:lineRule="auto"/>
              <w:jc w:val="center"/>
              <w:rPr>
                <w:color w:val="auto"/>
              </w:rPr>
            </w:pPr>
            <w:r>
              <w:rPr>
                <w:rFonts w:ascii="宋体" w:hAnsi="宋体" w:eastAsia="宋体"/>
                <w:b w:val="0"/>
                <w:color w:val="auto"/>
                <w:sz w:val="21"/>
              </w:rPr>
              <w:t>准确率</w:t>
            </w:r>
          </w:p>
        </w:tc>
        <w:tc>
          <w:tcPr>
            <w:tcW w:w="2880" w:type="dxa"/>
          </w:tcPr>
          <w:p w14:paraId="403F45E6">
            <w:pPr>
              <w:spacing w:after="0" w:line="240" w:lineRule="auto"/>
              <w:jc w:val="center"/>
              <w:rPr>
                <w:color w:val="auto"/>
              </w:rPr>
            </w:pPr>
            <w:r>
              <w:rPr>
                <w:rFonts w:ascii="宋体" w:hAnsi="宋体" w:eastAsia="宋体"/>
                <w:b w:val="0"/>
                <w:color w:val="auto"/>
                <w:sz w:val="21"/>
              </w:rPr>
              <w:t>0.705</w:t>
            </w:r>
          </w:p>
        </w:tc>
        <w:tc>
          <w:tcPr>
            <w:tcW w:w="2880" w:type="dxa"/>
          </w:tcPr>
          <w:p w14:paraId="16E733E2">
            <w:pPr>
              <w:spacing w:after="0" w:line="240" w:lineRule="auto"/>
              <w:jc w:val="center"/>
              <w:rPr>
                <w:color w:val="auto"/>
              </w:rPr>
            </w:pPr>
            <w:r>
              <w:rPr>
                <w:rFonts w:ascii="宋体" w:hAnsi="宋体" w:eastAsia="宋体"/>
                <w:b w:val="0"/>
                <w:color w:val="auto"/>
                <w:sz w:val="21"/>
              </w:rPr>
              <w:t>0.705</w:t>
            </w:r>
          </w:p>
        </w:tc>
      </w:tr>
      <w:tr w14:paraId="79EC0E6B">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2880" w:type="dxa"/>
          </w:tcPr>
          <w:p w14:paraId="24AB8300">
            <w:pPr>
              <w:spacing w:after="0" w:line="240" w:lineRule="auto"/>
              <w:jc w:val="center"/>
              <w:rPr>
                <w:color w:val="auto"/>
              </w:rPr>
            </w:pPr>
            <w:r>
              <w:rPr>
                <w:rFonts w:ascii="宋体" w:hAnsi="宋体" w:eastAsia="宋体"/>
                <w:b w:val="0"/>
                <w:color w:val="auto"/>
                <w:sz w:val="21"/>
              </w:rPr>
              <w:t>精确率(舞弊)</w:t>
            </w:r>
          </w:p>
        </w:tc>
        <w:tc>
          <w:tcPr>
            <w:tcW w:w="2880" w:type="dxa"/>
          </w:tcPr>
          <w:p w14:paraId="7FE82000">
            <w:pPr>
              <w:spacing w:after="0" w:line="240" w:lineRule="auto"/>
              <w:jc w:val="center"/>
              <w:rPr>
                <w:color w:val="auto"/>
              </w:rPr>
            </w:pPr>
            <w:r>
              <w:rPr>
                <w:rFonts w:ascii="宋体" w:hAnsi="宋体" w:eastAsia="宋体"/>
                <w:b w:val="0"/>
                <w:color w:val="auto"/>
                <w:sz w:val="21"/>
              </w:rPr>
              <w:t>0.775</w:t>
            </w:r>
          </w:p>
        </w:tc>
        <w:tc>
          <w:tcPr>
            <w:tcW w:w="2880" w:type="dxa"/>
          </w:tcPr>
          <w:p w14:paraId="0F22978D">
            <w:pPr>
              <w:spacing w:after="0" w:line="240" w:lineRule="auto"/>
              <w:jc w:val="center"/>
              <w:rPr>
                <w:color w:val="auto"/>
              </w:rPr>
            </w:pPr>
            <w:r>
              <w:rPr>
                <w:rFonts w:ascii="宋体" w:hAnsi="宋体" w:eastAsia="宋体"/>
                <w:b w:val="0"/>
                <w:color w:val="auto"/>
                <w:sz w:val="21"/>
              </w:rPr>
              <w:t>0.782</w:t>
            </w:r>
          </w:p>
        </w:tc>
      </w:tr>
      <w:tr w14:paraId="7D85E11D">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2880" w:type="dxa"/>
          </w:tcPr>
          <w:p w14:paraId="405E040B">
            <w:pPr>
              <w:spacing w:after="0" w:line="240" w:lineRule="auto"/>
              <w:jc w:val="center"/>
              <w:rPr>
                <w:color w:val="auto"/>
              </w:rPr>
            </w:pPr>
            <w:r>
              <w:rPr>
                <w:rFonts w:ascii="宋体" w:hAnsi="宋体" w:eastAsia="宋体"/>
                <w:b w:val="0"/>
                <w:color w:val="auto"/>
                <w:sz w:val="21"/>
              </w:rPr>
              <w:t>召回率(舞弊)</w:t>
            </w:r>
          </w:p>
        </w:tc>
        <w:tc>
          <w:tcPr>
            <w:tcW w:w="2880" w:type="dxa"/>
          </w:tcPr>
          <w:p w14:paraId="38FA231C">
            <w:pPr>
              <w:spacing w:after="0" w:line="240" w:lineRule="auto"/>
              <w:jc w:val="center"/>
              <w:rPr>
                <w:color w:val="auto"/>
              </w:rPr>
            </w:pPr>
            <w:r>
              <w:rPr>
                <w:rFonts w:ascii="宋体" w:hAnsi="宋体" w:eastAsia="宋体"/>
                <w:b w:val="0"/>
                <w:color w:val="auto"/>
                <w:sz w:val="21"/>
              </w:rPr>
              <w:t>0.827</w:t>
            </w:r>
          </w:p>
        </w:tc>
        <w:tc>
          <w:tcPr>
            <w:tcW w:w="2880" w:type="dxa"/>
          </w:tcPr>
          <w:p w14:paraId="4CCAF07A">
            <w:pPr>
              <w:spacing w:after="0" w:line="240" w:lineRule="auto"/>
              <w:jc w:val="center"/>
              <w:rPr>
                <w:color w:val="auto"/>
              </w:rPr>
            </w:pPr>
            <w:r>
              <w:rPr>
                <w:rFonts w:ascii="宋体" w:hAnsi="宋体" w:eastAsia="宋体"/>
                <w:b w:val="0"/>
                <w:color w:val="auto"/>
                <w:sz w:val="21"/>
              </w:rPr>
              <w:t>0.813</w:t>
            </w:r>
          </w:p>
        </w:tc>
      </w:tr>
      <w:tr w14:paraId="174FD950">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2880" w:type="dxa"/>
          </w:tcPr>
          <w:p w14:paraId="2B13DD4B">
            <w:pPr>
              <w:spacing w:after="0" w:line="240" w:lineRule="auto"/>
              <w:jc w:val="center"/>
              <w:rPr>
                <w:color w:val="auto"/>
              </w:rPr>
            </w:pPr>
            <w:r>
              <w:rPr>
                <w:rFonts w:ascii="宋体" w:hAnsi="宋体" w:eastAsia="宋体"/>
                <w:b w:val="0"/>
                <w:color w:val="auto"/>
                <w:sz w:val="21"/>
              </w:rPr>
              <w:t>F1(舞弊)</w:t>
            </w:r>
          </w:p>
        </w:tc>
        <w:tc>
          <w:tcPr>
            <w:tcW w:w="2880" w:type="dxa"/>
          </w:tcPr>
          <w:p w14:paraId="753DEAA1">
            <w:pPr>
              <w:spacing w:after="0" w:line="240" w:lineRule="auto"/>
              <w:jc w:val="center"/>
              <w:rPr>
                <w:color w:val="auto"/>
              </w:rPr>
            </w:pPr>
            <w:r>
              <w:rPr>
                <w:rFonts w:ascii="宋体" w:hAnsi="宋体" w:eastAsia="宋体"/>
                <w:b w:val="0"/>
                <w:color w:val="auto"/>
                <w:sz w:val="21"/>
              </w:rPr>
              <w:t>0.800</w:t>
            </w:r>
          </w:p>
        </w:tc>
        <w:tc>
          <w:tcPr>
            <w:tcW w:w="2880" w:type="dxa"/>
          </w:tcPr>
          <w:p w14:paraId="46BA9077">
            <w:pPr>
              <w:spacing w:after="0" w:line="240" w:lineRule="auto"/>
              <w:jc w:val="center"/>
              <w:rPr>
                <w:color w:val="auto"/>
              </w:rPr>
            </w:pPr>
            <w:r>
              <w:rPr>
                <w:rFonts w:ascii="宋体" w:hAnsi="宋体" w:eastAsia="宋体"/>
                <w:b w:val="0"/>
                <w:color w:val="auto"/>
                <w:sz w:val="21"/>
              </w:rPr>
              <w:t>0.797</w:t>
            </w:r>
          </w:p>
        </w:tc>
      </w:tr>
    </w:tbl>
    <w:p w14:paraId="44886C69">
      <w:pPr>
        <w:spacing w:after="80"/>
      </w:pPr>
    </w:p>
    <w:p w14:paraId="4BB6FC3A">
      <w:pPr>
        <w:spacing w:line="360" w:lineRule="auto"/>
        <w:ind w:firstLine="480"/>
      </w:pPr>
      <w:r>
        <w:rPr>
          <w:rFonts w:ascii="宋体" w:hAnsi="宋体" w:eastAsia="宋体"/>
          <w:b w:val="0"/>
          <w:sz w:val="24"/>
        </w:rPr>
        <w:t>初始决策树模型在测试集上的准确率为 0.705，舞弊类 F1 值为 0.800。从混淆矩阵看，模型对舞弊公司具有较好的识别能力，但对非舞弊公司仍存在一定误判，说明仅凭财务比率区分两类公司具有一定难度，这与财务舞弊行为本身的隐蔽性相符。</w:t>
      </w:r>
    </w:p>
    <w:p w14:paraId="7765BEDE">
      <w:pPr>
        <w:spacing w:before="200" w:after="120"/>
      </w:pPr>
      <w:r>
        <w:rPr>
          <w:rFonts w:ascii="黑体" w:hAnsi="黑体" w:eastAsia="黑体"/>
          <w:b/>
          <w:sz w:val="30"/>
        </w:rPr>
        <w:t>六、特征重要性分析</w:t>
      </w:r>
    </w:p>
    <w:p w14:paraId="6367377D">
      <w:pPr>
        <w:spacing w:line="360" w:lineRule="auto"/>
        <w:ind w:firstLine="480"/>
      </w:pPr>
      <w:r>
        <w:rPr>
          <w:rFonts w:ascii="宋体" w:hAnsi="宋体" w:eastAsia="宋体"/>
          <w:b w:val="0"/>
          <w:sz w:val="24"/>
        </w:rPr>
        <w:t>基于决策树的特征重要性（feature_importances_），对各特征的贡献度进行排序，结果如图2所示。对舞弊预测影响较大的特征主要包括每股收益、存货周转率、营业利润增长、总资产增长率、流动比率、现金流/负债等。</w:t>
      </w:r>
    </w:p>
    <w:p w14:paraId="66021F84">
      <w:pPr>
        <w:jc w:val="center"/>
      </w:pPr>
      <w:r>
        <w:drawing>
          <wp:inline distT="0" distB="0" distL="114300" distR="114300">
            <wp:extent cx="5212080" cy="3474720"/>
            <wp:effectExtent l="0" t="0" r="7620" b="114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5212080" cy="3474720"/>
                    </a:xfrm>
                    <a:prstGeom prst="rect">
                      <a:avLst/>
                    </a:prstGeom>
                  </pic:spPr>
                </pic:pic>
              </a:graphicData>
            </a:graphic>
          </wp:inline>
        </w:drawing>
      </w:r>
    </w:p>
    <w:p w14:paraId="35E1EDA9">
      <w:pPr>
        <w:spacing w:after="160"/>
        <w:jc w:val="center"/>
      </w:pPr>
      <w:r>
        <w:rPr>
          <w:rFonts w:ascii="楷体" w:hAnsi="楷体" w:eastAsia="楷体"/>
          <w:b w:val="0"/>
          <w:sz w:val="21"/>
        </w:rPr>
        <w:t>图2 对舞弊预测影响最大的特征 TOP15</w:t>
      </w:r>
    </w:p>
    <w:p w14:paraId="1B5B6487">
      <w:pPr>
        <w:jc w:val="center"/>
      </w:pPr>
      <w:r>
        <w:rPr>
          <w:rFonts w:ascii="楷体" w:hAnsi="楷体" w:eastAsia="楷体"/>
          <w:b w:val="0"/>
          <w:sz w:val="21"/>
        </w:rPr>
        <w:t>表2 特征重要性排名前十</w:t>
      </w:r>
    </w:p>
    <w:tbl>
      <w:tblPr>
        <w:tblStyle w:val="49"/>
        <w:tblW w:w="0" w:type="auto"/>
        <w:jc w:val="cente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autofit"/>
        <w:tblCellMar>
          <w:top w:w="0" w:type="dxa"/>
          <w:left w:w="108" w:type="dxa"/>
          <w:bottom w:w="0" w:type="dxa"/>
          <w:right w:w="108" w:type="dxa"/>
        </w:tblCellMar>
      </w:tblPr>
      <w:tblGrid>
        <w:gridCol w:w="4320"/>
        <w:gridCol w:w="4320"/>
      </w:tblGrid>
      <w:tr w14:paraId="6D8CBECA">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4320" w:type="dxa"/>
          </w:tcPr>
          <w:p w14:paraId="32C46B75">
            <w:pPr>
              <w:spacing w:after="0" w:line="240" w:lineRule="auto"/>
              <w:jc w:val="center"/>
            </w:pPr>
            <w:r>
              <w:rPr>
                <w:rFonts w:ascii="黑体" w:hAnsi="黑体" w:eastAsia="黑体"/>
                <w:b/>
                <w:sz w:val="21"/>
              </w:rPr>
              <w:t>特征</w:t>
            </w:r>
          </w:p>
        </w:tc>
        <w:tc>
          <w:tcPr>
            <w:tcW w:w="4320" w:type="dxa"/>
          </w:tcPr>
          <w:p w14:paraId="65CC3E43">
            <w:pPr>
              <w:spacing w:after="0" w:line="240" w:lineRule="auto"/>
              <w:jc w:val="center"/>
            </w:pPr>
            <w:r>
              <w:rPr>
                <w:rFonts w:ascii="黑体" w:hAnsi="黑体" w:eastAsia="黑体"/>
                <w:b/>
                <w:sz w:val="21"/>
              </w:rPr>
              <w:t>重要性</w:t>
            </w:r>
          </w:p>
        </w:tc>
      </w:tr>
      <w:tr w14:paraId="61F31C03">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4320" w:type="dxa"/>
          </w:tcPr>
          <w:p w14:paraId="78BE4C31">
            <w:pPr>
              <w:spacing w:after="0" w:line="240" w:lineRule="auto"/>
              <w:jc w:val="center"/>
            </w:pPr>
            <w:r>
              <w:rPr>
                <w:rFonts w:ascii="宋体" w:hAnsi="宋体" w:eastAsia="宋体"/>
                <w:b w:val="0"/>
                <w:sz w:val="21"/>
              </w:rPr>
              <w:t>每股收益</w:t>
            </w:r>
          </w:p>
        </w:tc>
        <w:tc>
          <w:tcPr>
            <w:tcW w:w="4320" w:type="dxa"/>
          </w:tcPr>
          <w:p w14:paraId="68A9AC5C">
            <w:pPr>
              <w:spacing w:after="0" w:line="240" w:lineRule="auto"/>
              <w:jc w:val="center"/>
            </w:pPr>
            <w:r>
              <w:rPr>
                <w:rFonts w:ascii="宋体" w:hAnsi="宋体" w:eastAsia="宋体"/>
                <w:b w:val="0"/>
                <w:sz w:val="21"/>
              </w:rPr>
              <w:t>0.1205</w:t>
            </w:r>
          </w:p>
        </w:tc>
      </w:tr>
      <w:tr w14:paraId="18884592">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4320" w:type="dxa"/>
          </w:tcPr>
          <w:p w14:paraId="0D9506B6">
            <w:pPr>
              <w:spacing w:after="0" w:line="240" w:lineRule="auto"/>
              <w:jc w:val="center"/>
            </w:pPr>
            <w:r>
              <w:rPr>
                <w:rFonts w:ascii="宋体" w:hAnsi="宋体" w:eastAsia="宋体"/>
                <w:b w:val="0"/>
                <w:sz w:val="21"/>
              </w:rPr>
              <w:t>存货周转率</w:t>
            </w:r>
          </w:p>
        </w:tc>
        <w:tc>
          <w:tcPr>
            <w:tcW w:w="4320" w:type="dxa"/>
          </w:tcPr>
          <w:p w14:paraId="6BD943DF">
            <w:pPr>
              <w:spacing w:after="0" w:line="240" w:lineRule="auto"/>
              <w:jc w:val="center"/>
            </w:pPr>
            <w:r>
              <w:rPr>
                <w:rFonts w:ascii="宋体" w:hAnsi="宋体" w:eastAsia="宋体"/>
                <w:b w:val="0"/>
                <w:sz w:val="21"/>
              </w:rPr>
              <w:t>0.1148</w:t>
            </w:r>
          </w:p>
        </w:tc>
      </w:tr>
      <w:tr w14:paraId="7CEF4804">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4320" w:type="dxa"/>
          </w:tcPr>
          <w:p w14:paraId="21DCB939">
            <w:pPr>
              <w:spacing w:after="0" w:line="240" w:lineRule="auto"/>
              <w:jc w:val="center"/>
            </w:pPr>
            <w:r>
              <w:rPr>
                <w:rFonts w:ascii="宋体" w:hAnsi="宋体" w:eastAsia="宋体"/>
                <w:b w:val="0"/>
                <w:sz w:val="21"/>
              </w:rPr>
              <w:t>营业利润增长</w:t>
            </w:r>
          </w:p>
        </w:tc>
        <w:tc>
          <w:tcPr>
            <w:tcW w:w="4320" w:type="dxa"/>
          </w:tcPr>
          <w:p w14:paraId="46B29B89">
            <w:pPr>
              <w:spacing w:after="0" w:line="240" w:lineRule="auto"/>
              <w:jc w:val="center"/>
            </w:pPr>
            <w:r>
              <w:rPr>
                <w:rFonts w:ascii="宋体" w:hAnsi="宋体" w:eastAsia="宋体"/>
                <w:b w:val="0"/>
                <w:sz w:val="21"/>
              </w:rPr>
              <w:t>0.1125</w:t>
            </w:r>
          </w:p>
        </w:tc>
      </w:tr>
      <w:tr w14:paraId="05CA635A">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4320" w:type="dxa"/>
          </w:tcPr>
          <w:p w14:paraId="5911F1F9">
            <w:pPr>
              <w:spacing w:after="0" w:line="240" w:lineRule="auto"/>
              <w:jc w:val="center"/>
            </w:pPr>
            <w:r>
              <w:rPr>
                <w:rFonts w:ascii="宋体" w:hAnsi="宋体" w:eastAsia="宋体"/>
                <w:b w:val="0"/>
                <w:sz w:val="21"/>
              </w:rPr>
              <w:t>总资产增长率</w:t>
            </w:r>
          </w:p>
        </w:tc>
        <w:tc>
          <w:tcPr>
            <w:tcW w:w="4320" w:type="dxa"/>
          </w:tcPr>
          <w:p w14:paraId="70ACEE0C">
            <w:pPr>
              <w:spacing w:after="0" w:line="240" w:lineRule="auto"/>
              <w:jc w:val="center"/>
            </w:pPr>
            <w:r>
              <w:rPr>
                <w:rFonts w:ascii="宋体" w:hAnsi="宋体" w:eastAsia="宋体"/>
                <w:b w:val="0"/>
                <w:sz w:val="21"/>
              </w:rPr>
              <w:t>0.0854</w:t>
            </w:r>
          </w:p>
        </w:tc>
      </w:tr>
      <w:tr w14:paraId="3B6CB2DF">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4320" w:type="dxa"/>
          </w:tcPr>
          <w:p w14:paraId="18587440">
            <w:pPr>
              <w:spacing w:after="0" w:line="240" w:lineRule="auto"/>
              <w:jc w:val="center"/>
            </w:pPr>
            <w:r>
              <w:rPr>
                <w:rFonts w:ascii="宋体" w:hAnsi="宋体" w:eastAsia="宋体"/>
                <w:b w:val="0"/>
                <w:sz w:val="21"/>
              </w:rPr>
              <w:t>流动比率</w:t>
            </w:r>
          </w:p>
        </w:tc>
        <w:tc>
          <w:tcPr>
            <w:tcW w:w="4320" w:type="dxa"/>
          </w:tcPr>
          <w:p w14:paraId="0CDE1400">
            <w:pPr>
              <w:spacing w:after="0" w:line="240" w:lineRule="auto"/>
              <w:jc w:val="center"/>
            </w:pPr>
            <w:r>
              <w:rPr>
                <w:rFonts w:ascii="宋体" w:hAnsi="宋体" w:eastAsia="宋体"/>
                <w:b w:val="0"/>
                <w:sz w:val="21"/>
              </w:rPr>
              <w:t>0.0798</w:t>
            </w:r>
          </w:p>
        </w:tc>
      </w:tr>
      <w:tr w14:paraId="082CA78D">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4320" w:type="dxa"/>
          </w:tcPr>
          <w:p w14:paraId="1E9CA3DD">
            <w:pPr>
              <w:spacing w:after="0" w:line="240" w:lineRule="auto"/>
              <w:jc w:val="center"/>
            </w:pPr>
            <w:r>
              <w:rPr>
                <w:rFonts w:ascii="宋体" w:hAnsi="宋体" w:eastAsia="宋体"/>
                <w:b w:val="0"/>
                <w:sz w:val="21"/>
              </w:rPr>
              <w:t>现金流/负债</w:t>
            </w:r>
          </w:p>
        </w:tc>
        <w:tc>
          <w:tcPr>
            <w:tcW w:w="4320" w:type="dxa"/>
          </w:tcPr>
          <w:p w14:paraId="511FDB03">
            <w:pPr>
              <w:spacing w:after="0" w:line="240" w:lineRule="auto"/>
              <w:jc w:val="center"/>
            </w:pPr>
            <w:r>
              <w:rPr>
                <w:rFonts w:ascii="宋体" w:hAnsi="宋体" w:eastAsia="宋体"/>
                <w:b w:val="0"/>
                <w:sz w:val="21"/>
              </w:rPr>
              <w:t>0.0625</w:t>
            </w:r>
          </w:p>
        </w:tc>
      </w:tr>
      <w:tr w14:paraId="5659BF53">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4320" w:type="dxa"/>
          </w:tcPr>
          <w:p w14:paraId="2A1F009B">
            <w:pPr>
              <w:spacing w:after="0" w:line="240" w:lineRule="auto"/>
              <w:jc w:val="center"/>
            </w:pPr>
            <w:r>
              <w:rPr>
                <w:rFonts w:ascii="宋体" w:hAnsi="宋体" w:eastAsia="宋体"/>
                <w:b w:val="0"/>
                <w:sz w:val="21"/>
              </w:rPr>
              <w:t>应收账款周转率</w:t>
            </w:r>
          </w:p>
        </w:tc>
        <w:tc>
          <w:tcPr>
            <w:tcW w:w="4320" w:type="dxa"/>
          </w:tcPr>
          <w:p w14:paraId="49A34C35">
            <w:pPr>
              <w:spacing w:after="0" w:line="240" w:lineRule="auto"/>
              <w:jc w:val="center"/>
            </w:pPr>
            <w:r>
              <w:rPr>
                <w:rFonts w:ascii="宋体" w:hAnsi="宋体" w:eastAsia="宋体"/>
                <w:b w:val="0"/>
                <w:sz w:val="21"/>
              </w:rPr>
              <w:t>0.0551</w:t>
            </w:r>
          </w:p>
        </w:tc>
      </w:tr>
      <w:tr w14:paraId="5B84E31A">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4320" w:type="dxa"/>
          </w:tcPr>
          <w:p w14:paraId="42CB53D3">
            <w:pPr>
              <w:spacing w:after="0" w:line="240" w:lineRule="auto"/>
              <w:jc w:val="center"/>
            </w:pPr>
            <w:r>
              <w:rPr>
                <w:rFonts w:ascii="宋体" w:hAnsi="宋体" w:eastAsia="宋体"/>
                <w:b w:val="0"/>
                <w:sz w:val="21"/>
              </w:rPr>
              <w:t>经营现金流增长</w:t>
            </w:r>
          </w:p>
        </w:tc>
        <w:tc>
          <w:tcPr>
            <w:tcW w:w="4320" w:type="dxa"/>
          </w:tcPr>
          <w:p w14:paraId="0513B8D3">
            <w:pPr>
              <w:spacing w:after="0" w:line="240" w:lineRule="auto"/>
              <w:jc w:val="center"/>
            </w:pPr>
            <w:r>
              <w:rPr>
                <w:rFonts w:ascii="宋体" w:hAnsi="宋体" w:eastAsia="宋体"/>
                <w:b w:val="0"/>
                <w:sz w:val="21"/>
              </w:rPr>
              <w:t>0.0460</w:t>
            </w:r>
          </w:p>
        </w:tc>
      </w:tr>
      <w:tr w14:paraId="7C64277C">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4320" w:type="dxa"/>
          </w:tcPr>
          <w:p w14:paraId="4CC963FE">
            <w:pPr>
              <w:spacing w:after="0" w:line="240" w:lineRule="auto"/>
              <w:jc w:val="center"/>
            </w:pPr>
            <w:r>
              <w:rPr>
                <w:rFonts w:ascii="宋体" w:hAnsi="宋体" w:eastAsia="宋体"/>
                <w:b w:val="0"/>
                <w:sz w:val="21"/>
              </w:rPr>
              <w:t>每股净资产</w:t>
            </w:r>
          </w:p>
        </w:tc>
        <w:tc>
          <w:tcPr>
            <w:tcW w:w="4320" w:type="dxa"/>
          </w:tcPr>
          <w:p w14:paraId="09825657">
            <w:pPr>
              <w:spacing w:after="0" w:line="240" w:lineRule="auto"/>
              <w:jc w:val="center"/>
            </w:pPr>
            <w:r>
              <w:rPr>
                <w:rFonts w:ascii="宋体" w:hAnsi="宋体" w:eastAsia="宋体"/>
                <w:b w:val="0"/>
                <w:sz w:val="21"/>
              </w:rPr>
              <w:t>0.0458</w:t>
            </w:r>
          </w:p>
        </w:tc>
      </w:tr>
      <w:tr w14:paraId="7D95476F">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rPr>
          <w:jc w:val="center"/>
        </w:trPr>
        <w:tc>
          <w:tcPr>
            <w:tcW w:w="4320" w:type="dxa"/>
          </w:tcPr>
          <w:p w14:paraId="00EA0A51">
            <w:pPr>
              <w:spacing w:after="0" w:line="240" w:lineRule="auto"/>
              <w:jc w:val="center"/>
            </w:pPr>
            <w:r>
              <w:rPr>
                <w:rFonts w:ascii="宋体" w:hAnsi="宋体" w:eastAsia="宋体"/>
                <w:b w:val="0"/>
                <w:sz w:val="21"/>
              </w:rPr>
              <w:t>销售净利率</w:t>
            </w:r>
          </w:p>
        </w:tc>
        <w:tc>
          <w:tcPr>
            <w:tcW w:w="4320" w:type="dxa"/>
          </w:tcPr>
          <w:p w14:paraId="760E6E21">
            <w:pPr>
              <w:spacing w:after="0" w:line="240" w:lineRule="auto"/>
              <w:jc w:val="center"/>
            </w:pPr>
            <w:r>
              <w:rPr>
                <w:rFonts w:ascii="宋体" w:hAnsi="宋体" w:eastAsia="宋体"/>
                <w:b w:val="0"/>
                <w:sz w:val="21"/>
              </w:rPr>
              <w:t>0.0406</w:t>
            </w:r>
          </w:p>
        </w:tc>
      </w:tr>
    </w:tbl>
    <w:p w14:paraId="21733528">
      <w:pPr>
        <w:spacing w:after="80"/>
      </w:pPr>
    </w:p>
    <w:p w14:paraId="0BA90F69">
      <w:pPr>
        <w:spacing w:line="360" w:lineRule="auto"/>
        <w:ind w:firstLine="480"/>
      </w:pPr>
      <w:r>
        <w:rPr>
          <w:rFonts w:ascii="宋体" w:hAnsi="宋体" w:eastAsia="宋体"/>
          <w:b w:val="0"/>
          <w:sz w:val="24"/>
        </w:rPr>
        <w:t>结果表明，盈利能力、运营效率与成长性相关指标在区分舞弊与非舞弊公司时贡献较大，提示违规公司在盈利质量与经营效率上往往呈现异常特征，可作为风险预警的重点关注方向。</w:t>
      </w:r>
    </w:p>
    <w:p w14:paraId="14B5DFBA">
      <w:pPr>
        <w:spacing w:before="200" w:after="120"/>
      </w:pPr>
      <w:r>
        <w:rPr>
          <w:rFonts w:ascii="黑体" w:hAnsi="黑体" w:eastAsia="黑体"/>
          <w:b/>
          <w:sz w:val="30"/>
        </w:rPr>
        <w:t>七、参数调优（GridSearchCV）</w:t>
      </w:r>
    </w:p>
    <w:p w14:paraId="2F515862">
      <w:pPr>
        <w:spacing w:line="360" w:lineRule="auto"/>
        <w:ind w:firstLine="480"/>
      </w:pPr>
      <w:r>
        <w:rPr>
          <w:rFonts w:ascii="宋体" w:hAnsi="宋体" w:eastAsia="宋体"/>
          <w:b w:val="0"/>
          <w:sz w:val="24"/>
        </w:rPr>
        <w:t>为进一步提升模型性能，采用 GridSearchCV 网格搜索，在划分准则（criterion）、树的最大深度（max_depth）、内部节点最小样本数（min_samples_split）与叶节点最小样本数（min_samples_leaf）等参数范围内进行 5 折交叉验证搜索，以 f1_macro 作为评价标准。</w:t>
      </w:r>
    </w:p>
    <w:p w14:paraId="3FFF3D89">
      <w:pPr>
        <w:spacing w:line="360" w:lineRule="auto"/>
        <w:ind w:firstLine="480"/>
      </w:pPr>
      <w:r>
        <w:rPr>
          <w:rFonts w:ascii="宋体" w:hAnsi="宋体" w:eastAsia="宋体"/>
          <w:b w:val="0"/>
          <w:sz w:val="24"/>
        </w:rPr>
        <w:t>搜索得到的最优参数组合为：criterion=entropy, max_depth=10, min_samples_split=5, min_samples_leaf=1。调参前后测试集指标对比如图3所示，舞弊类 F1 值由 0.800 变化为 0.797。</w:t>
      </w:r>
    </w:p>
    <w:p w14:paraId="626C6E69">
      <w:pPr>
        <w:jc w:val="center"/>
      </w:pPr>
      <w:r>
        <w:drawing>
          <wp:inline distT="0" distB="0" distL="114300" distR="114300">
            <wp:extent cx="5212080" cy="325755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a:stretch>
                      <a:fillRect/>
                    </a:stretch>
                  </pic:blipFill>
                  <pic:spPr>
                    <a:xfrm>
                      <a:off x="0" y="0"/>
                      <a:ext cx="5212080" cy="3257550"/>
                    </a:xfrm>
                    <a:prstGeom prst="rect">
                      <a:avLst/>
                    </a:prstGeom>
                  </pic:spPr>
                </pic:pic>
              </a:graphicData>
            </a:graphic>
          </wp:inline>
        </w:drawing>
      </w:r>
    </w:p>
    <w:p w14:paraId="55BD671A">
      <w:pPr>
        <w:spacing w:after="160"/>
        <w:jc w:val="center"/>
      </w:pPr>
      <w:r>
        <w:rPr>
          <w:rFonts w:ascii="楷体" w:hAnsi="楷体" w:eastAsia="楷体"/>
          <w:b w:val="0"/>
          <w:sz w:val="21"/>
        </w:rPr>
        <w:t>图3 GridSearchCV 调参前后测试集指标对比</w:t>
      </w:r>
    </w:p>
    <w:p w14:paraId="7D2EDC22">
      <w:pPr>
        <w:spacing w:line="360" w:lineRule="auto"/>
        <w:ind w:firstLine="480"/>
      </w:pPr>
      <w:r>
        <w:rPr>
          <w:rFonts w:ascii="宋体" w:hAnsi="宋体" w:eastAsia="宋体"/>
          <w:b w:val="0"/>
          <w:sz w:val="24"/>
        </w:rPr>
        <w:t>通过限制树的深度与叶节点样本数，调参在一定程度上抑制了决策树的过拟合，使模型在测试集上的泛化表现更加稳健。</w:t>
      </w:r>
    </w:p>
    <w:p w14:paraId="2C065AED">
      <w:pPr>
        <w:spacing w:before="200" w:after="120"/>
      </w:pPr>
      <w:r>
        <w:rPr>
          <w:rFonts w:ascii="黑体" w:hAnsi="黑体" w:eastAsia="黑体"/>
          <w:b/>
          <w:sz w:val="30"/>
        </w:rPr>
        <w:t>八、结论与建议</w:t>
      </w:r>
    </w:p>
    <w:p w14:paraId="6A76328C">
      <w:pPr>
        <w:spacing w:line="360" w:lineRule="auto"/>
        <w:ind w:firstLine="480"/>
      </w:pPr>
      <w:r>
        <w:rPr>
          <w:rFonts w:ascii="宋体" w:hAnsi="宋体" w:eastAsia="宋体"/>
          <w:b w:val="0"/>
          <w:sz w:val="24"/>
        </w:rPr>
        <w:t>第一，本文构建了完整的上市公司舞弊预测流程，决策树模型在测试集上取得了约 70% 的准确率与较好的舞弊识别能力，验证了基于公开财务数据进行违规预警的可行性。第二，每股收益、存货周转率、营业利润增长、总资产增长率、流动比率、现金流/负债等指标是区分舞弊公司的关键特征。第三，GridSearchCV 调参有助于缓解过拟合、提升模型稳健性。</w:t>
      </w:r>
    </w:p>
    <w:p w14:paraId="72224F6A">
      <w:pPr>
        <w:spacing w:line="360" w:lineRule="auto"/>
        <w:ind w:firstLine="480"/>
      </w:pPr>
      <w:r>
        <w:rPr>
          <w:rFonts w:ascii="宋体" w:hAnsi="宋体" w:eastAsia="宋体"/>
          <w:b w:val="0"/>
          <w:sz w:val="24"/>
        </w:rPr>
        <w:t>建议：在实际风险预警中，可将该模型作为辅助筛查工具，对模型识别出的高风险公司进行重点核查；后续可引入更多年度的面板数据、非财务信息（如审计意见、股权结构）以及更强的集成学习算法（如随机森林、XGBoost），进一步提升预测精度与稳健性。</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ＭＳ 明朝">
    <w:altName w:val="ESRI AMFM Electric"/>
    <w:panose1 w:val="00000000000000000000"/>
    <w:charset w:val="00"/>
    <w:family w:val="auto"/>
    <w:pitch w:val="default"/>
    <w:sig w:usb0="00000000" w:usb1="00000000" w:usb2="00000000" w:usb3="00000000" w:csb0="00000000" w:csb1="00000000"/>
  </w:font>
  <w:font w:name="ESRI AMFM Electric">
    <w:panose1 w:val="02000400000000000000"/>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546D731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qFormat="1"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qFormat="1"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4"/>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qFormat/>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1148</Words>
  <Characters>1345</Characters>
  <Lines>0</Lines>
  <Paragraphs>0</Paragraphs>
  <TotalTime>0</TotalTime>
  <ScaleCrop>false</ScaleCrop>
  <LinksUpToDate>false</LinksUpToDate>
  <CharactersWithSpaces>1393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WPS_1665158381</cp:lastModifiedBy>
  <dcterms:modified xsi:type="dcterms:W3CDTF">2026-06-25T00:48:42Z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eyJoZGlkIjoiNTM3MzVjZmMzZDYzNjQyMWFjNTBmMzhkZDU4OWM4OTciLCJ1c2VySWQiOiIxNDE2NjM3MTY5In0=</vt:lpwstr>
  </property>
  <property fmtid="{D5CDD505-2E9C-101B-9397-08002B2CF9AE}" pid="3" name="KSOProductBuildVer">
    <vt:lpwstr>2052-12.1.0.26895</vt:lpwstr>
  </property>
  <property fmtid="{D5CDD505-2E9C-101B-9397-08002B2CF9AE}" pid="4" name="ICV">
    <vt:lpwstr>23378912795341E78DBC59DB5C14EC8F_12</vt:lpwstr>
  </property>
</Properties>
</file>