
<file path=[Content_Types].xml><?xml version="1.0" encoding="utf-8"?>
<Types xmlns="http://schemas.openxmlformats.org/package/2006/content-types">
  <Default Extension="xml" ContentType="application/xml"/>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A114EF2">
      <w:pPr>
        <w:spacing w:before="0" w:after="240" w:line="360" w:lineRule="auto"/>
        <w:jc w:val="center"/>
      </w:pPr>
      <w:r>
        <w:rPr>
          <w:rFonts w:ascii="Times New Roman" w:hAnsi="Times New Roman" w:eastAsia="宋体"/>
          <w:b/>
          <w:i w:val="0"/>
          <w:sz w:val="32"/>
        </w:rPr>
        <w:t>贵州茅台收益率影响因素的实证分析</w:t>
      </w:r>
    </w:p>
    <w:p w14:paraId="0B74B795">
      <w:pPr>
        <w:spacing w:before="0" w:after="480" w:line="360" w:lineRule="auto"/>
        <w:jc w:val="center"/>
      </w:pPr>
      <w:r>
        <w:rPr>
          <w:rFonts w:ascii="Times New Roman" w:hAnsi="Times New Roman" w:eastAsia="宋体"/>
          <w:b w:val="0"/>
          <w:i w:val="0"/>
          <w:sz w:val="28"/>
        </w:rPr>
        <w:t>基于多元线性回归模型的研究</w:t>
      </w:r>
    </w:p>
    <w:p w14:paraId="5F9E8F21">
      <w:pPr>
        <w:spacing w:before="240" w:after="120" w:line="360" w:lineRule="auto"/>
        <w:jc w:val="left"/>
      </w:pPr>
      <w:r>
        <w:rPr>
          <w:rFonts w:ascii="Times New Roman" w:hAnsi="Times New Roman" w:eastAsia="宋体"/>
          <w:b/>
          <w:i w:val="0"/>
          <w:sz w:val="28"/>
        </w:rPr>
        <w:t>一、引言</w:t>
      </w:r>
    </w:p>
    <w:p w14:paraId="50E36651">
      <w:pPr>
        <w:spacing w:before="0" w:after="0" w:line="360" w:lineRule="auto"/>
        <w:ind w:firstLine="480"/>
        <w:jc w:val="both"/>
      </w:pPr>
      <w:r>
        <w:rPr>
          <w:rFonts w:ascii="Times New Roman" w:hAnsi="Times New Roman" w:eastAsia="宋体"/>
          <w:b w:val="0"/>
          <w:i w:val="0"/>
          <w:sz w:val="24"/>
        </w:rPr>
        <w:t>股票市场是现代金融体系的核心组成部分，股票价格的波动受到众多因素的交互影响。对于投资者和研究人员而言，理解哪些因素能够显著影响股票的日收益率，是进行合理资产配置和风险管理的基本前提。贵州茅台作为A股市场中最具代表性的白酒龙头企业，其股票长期受到市场的高度关注，成交活跃、数据质量优良，是开展收益率影响因素实证分析的理想标的。</w:t>
      </w:r>
    </w:p>
    <w:p w14:paraId="629D67BD">
      <w:pPr>
        <w:spacing w:before="0" w:after="0" w:line="360" w:lineRule="auto"/>
        <w:ind w:firstLine="480"/>
        <w:jc w:val="both"/>
      </w:pPr>
      <w:r>
        <w:rPr>
          <w:rFonts w:ascii="Times New Roman" w:hAnsi="Times New Roman" w:eastAsia="宋体"/>
          <w:b w:val="0"/>
          <w:i w:val="0"/>
          <w:sz w:val="24"/>
        </w:rPr>
        <w:t>本报告选取贵州茅台（600519.SH）作为研究对象，利用Tushare金融数据接口获取2020年1月至2025年12月期间共1455个交易日的日线行情数据、基本面估值指标以及资金流向数据。研究从成交量、换手率、市盈率、市净率、市销率、量比、股息率和资金净流入量等维度出发，运用多元线性回归模型，系统考察各因素对股票日收益率的影响方向与强度。在建模过程中，通过方差膨胀因子检验识别并处理特征变量之间的多重共线性问题，利用K折交叉验证评估模型的泛化能力，并引入Ridge回归和Lasso回归两种正则化方法与普通最小二乘法进行对比分析。</w:t>
      </w:r>
    </w:p>
    <w:p w14:paraId="3AAE2A98">
      <w:pPr>
        <w:spacing w:before="0" w:after="0" w:line="360" w:lineRule="auto"/>
        <w:ind w:firstLine="480"/>
        <w:jc w:val="both"/>
      </w:pPr>
      <w:r>
        <w:rPr>
          <w:rFonts w:ascii="Times New Roman" w:hAnsi="Times New Roman" w:eastAsia="宋体"/>
          <w:b w:val="0"/>
          <w:i w:val="0"/>
          <w:sz w:val="24"/>
        </w:rPr>
        <w:t>本研究的整体分析流程如图1所示，主要包含数据获取与预处理、描述性统计分析、相关系数分析、多重共线性检验、多元线性回归建模、K折交叉验证以及正则化回归对比等步骤。</w:t>
      </w:r>
    </w:p>
    <w:p w14:paraId="07B68190">
      <w:pPr>
        <w:spacing w:before="120" w:after="0" w:line="240" w:lineRule="auto"/>
        <w:jc w:val="center"/>
      </w:pPr>
      <w:r>
        <w:drawing>
          <wp:inline distT="0" distB="0" distL="114300" distR="114300">
            <wp:extent cx="2879725" cy="8284210"/>
            <wp:effectExtent l="0" t="0" r="1587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7"/>
                    <a:stretch>
                      <a:fillRect/>
                    </a:stretch>
                  </pic:blipFill>
                  <pic:spPr>
                    <a:xfrm>
                      <a:off x="0" y="0"/>
                      <a:ext cx="2880000" cy="8284526"/>
                    </a:xfrm>
                    <a:prstGeom prst="rect">
                      <a:avLst/>
                    </a:prstGeom>
                  </pic:spPr>
                </pic:pic>
              </a:graphicData>
            </a:graphic>
          </wp:inline>
        </w:drawing>
      </w:r>
    </w:p>
    <w:p w14:paraId="5E1BF853">
      <w:pPr>
        <w:spacing w:before="0" w:after="120" w:line="360" w:lineRule="auto"/>
        <w:jc w:val="center"/>
      </w:pPr>
      <w:r>
        <w:rPr>
          <w:rFonts w:ascii="Times New Roman" w:hAnsi="Times New Roman" w:eastAsia="宋体"/>
          <w:b w:val="0"/>
          <w:i w:val="0"/>
          <w:sz w:val="21"/>
        </w:rPr>
        <w:t>图1 研究分析流程图</w:t>
      </w:r>
    </w:p>
    <w:p w14:paraId="78A5FB0F">
      <w:r>
        <w:br w:type="page"/>
      </w:r>
    </w:p>
    <w:p w14:paraId="63D22E8D">
      <w:pPr>
        <w:spacing w:before="240" w:after="120" w:line="360" w:lineRule="auto"/>
        <w:jc w:val="left"/>
      </w:pPr>
      <w:r>
        <w:rPr>
          <w:rFonts w:ascii="Times New Roman" w:hAnsi="Times New Roman" w:eastAsia="宋体"/>
          <w:b/>
          <w:i w:val="0"/>
          <w:sz w:val="28"/>
        </w:rPr>
        <w:t>二、数据来源与预处理</w:t>
      </w:r>
    </w:p>
    <w:p w14:paraId="69222320">
      <w:pPr>
        <w:spacing w:before="120" w:after="60" w:line="360" w:lineRule="auto"/>
        <w:jc w:val="left"/>
      </w:pPr>
      <w:r>
        <w:rPr>
          <w:rFonts w:ascii="Times New Roman" w:hAnsi="Times New Roman" w:eastAsia="宋体"/>
          <w:b/>
          <w:i w:val="0"/>
          <w:sz w:val="24"/>
        </w:rPr>
        <w:t>2.1 数据来源</w:t>
      </w:r>
    </w:p>
    <w:p w14:paraId="098BA1D4">
      <w:pPr>
        <w:spacing w:before="0" w:after="0" w:line="360" w:lineRule="auto"/>
        <w:ind w:firstLine="480"/>
        <w:jc w:val="both"/>
      </w:pPr>
      <w:r>
        <w:rPr>
          <w:rFonts w:ascii="Times New Roman" w:hAnsi="Times New Roman" w:eastAsia="宋体"/>
          <w:b w:val="0"/>
          <w:i w:val="0"/>
          <w:sz w:val="24"/>
        </w:rPr>
        <w:t>本研究的数据来源于Tushare金融大数据平台。Tushare是国内主流的金融数据服务接口之一，提供了覆盖A股、港股、基金等多市场的行情与财务数据。本次分析调用了该平台的日线行情接口、每日基本面指标接口以及个股资金流向接口，获取了贵州茅台自2020年1月至2025年12月的全部交易日数据。最终合并后的数据集包含1455条记录和34个原始字段，涵盖了开盘价、收盘价、成交量、换手率、市盈率、市净率、资金净流入等关键指标。</w:t>
      </w:r>
    </w:p>
    <w:p w14:paraId="0FD084A2">
      <w:pPr>
        <w:spacing w:before="120" w:after="60" w:line="360" w:lineRule="auto"/>
        <w:jc w:val="left"/>
      </w:pPr>
      <w:r>
        <w:rPr>
          <w:rFonts w:ascii="Times New Roman" w:hAnsi="Times New Roman" w:eastAsia="宋体"/>
          <w:b/>
          <w:i w:val="0"/>
          <w:sz w:val="24"/>
        </w:rPr>
        <w:t>2.2 变量选取</w:t>
      </w:r>
    </w:p>
    <w:p w14:paraId="7A15F101">
      <w:pPr>
        <w:spacing w:before="0" w:after="0" w:line="360" w:lineRule="auto"/>
        <w:ind w:firstLine="480"/>
        <w:jc w:val="both"/>
      </w:pPr>
      <w:r>
        <w:rPr>
          <w:rFonts w:ascii="Times New Roman" w:hAnsi="Times New Roman" w:eastAsia="宋体"/>
          <w:b w:val="0"/>
          <w:i w:val="0"/>
          <w:sz w:val="24"/>
        </w:rPr>
        <w:t>在所有原始字段中，本研究选取日涨跌幅pct_chg作为响应变量，用以衡量股票的日收益率。特征变量方面，综合考虑数据的可获取性和金融理论的合理性，选择了以下9个指标作为初始候选特征：成交量vol、成交额amount、换手率turnover_rate、滚动市盈率pe_ttm、市净率pb、滚动市销率ps_ttm、量比volume_ratio、滚动股息率dv_ttm和资金净流入量net_mf_vol。这些指标分别从市场活跃度、估值水平和资金面三个维度刻画了股票交易的核心特征。</w:t>
      </w:r>
    </w:p>
    <w:p w14:paraId="393F4BC1">
      <w:pPr>
        <w:spacing w:before="120" w:after="60" w:line="360" w:lineRule="auto"/>
        <w:jc w:val="left"/>
      </w:pPr>
      <w:r>
        <w:rPr>
          <w:rFonts w:ascii="Times New Roman" w:hAnsi="Times New Roman" w:eastAsia="宋体"/>
          <w:b/>
          <w:i w:val="0"/>
          <w:sz w:val="24"/>
        </w:rPr>
        <w:t>2.3 缺失值处理</w:t>
      </w:r>
    </w:p>
    <w:p w14:paraId="1EBFE3DE">
      <w:pPr>
        <w:spacing w:before="0" w:after="0" w:line="360" w:lineRule="auto"/>
        <w:ind w:firstLine="480"/>
        <w:jc w:val="both"/>
      </w:pPr>
      <w:r>
        <w:rPr>
          <w:rFonts w:ascii="Times New Roman" w:hAnsi="Times New Roman" w:eastAsia="宋体"/>
          <w:b w:val="0"/>
          <w:i w:val="0"/>
          <w:sz w:val="24"/>
        </w:rPr>
        <w:t>数据质量检查显示，1455条记录中仅滚动股息率dv_ttm存在4条缺失值，其余字段均完整无缺。考虑到缺失数量极少且发生在时间序列数据中，本研究采用前向填充法进行处理，即用缺失值前一个交易日的有效数据进行填补。经填充后，整个数据集不再存在任何缺失值，可以直接用于后续的统计分析和建模工作。</w:t>
      </w:r>
    </w:p>
    <w:p w14:paraId="5B1D8032">
      <w:r>
        <w:br w:type="page"/>
      </w:r>
    </w:p>
    <w:p w14:paraId="534D37EB">
      <w:pPr>
        <w:spacing w:before="240" w:after="120" w:line="360" w:lineRule="auto"/>
        <w:jc w:val="left"/>
      </w:pPr>
      <w:r>
        <w:rPr>
          <w:rFonts w:ascii="Times New Roman" w:hAnsi="Times New Roman" w:eastAsia="宋体"/>
          <w:b/>
          <w:i w:val="0"/>
          <w:sz w:val="28"/>
        </w:rPr>
        <w:t>三、描述性统计分析</w:t>
      </w:r>
    </w:p>
    <w:p w14:paraId="7448E716">
      <w:pPr>
        <w:spacing w:before="0" w:after="0" w:line="360" w:lineRule="auto"/>
        <w:ind w:firstLine="480"/>
        <w:jc w:val="both"/>
      </w:pPr>
      <w:r>
        <w:rPr>
          <w:rFonts w:ascii="Times New Roman" w:hAnsi="Times New Roman" w:eastAsia="宋体"/>
          <w:b w:val="0"/>
          <w:i w:val="0"/>
          <w:sz w:val="24"/>
        </w:rPr>
        <w:t>在正式建模之前，首先对各变量的分布特征进行描述性统计分析。见表1所示，该表汇总了10个分析变量的均值、标准差、最小值、最大值、中位数、偏度和峰度等统计量。</w:t>
      </w:r>
      <w:bookmarkStart w:id="0" w:name="_GoBack"/>
      <w:bookmarkEnd w:id="0"/>
    </w:p>
    <w:p w14:paraId="34EC6788">
      <w:pPr>
        <w:spacing w:before="120" w:after="60" w:line="360" w:lineRule="auto"/>
        <w:jc w:val="center"/>
      </w:pPr>
      <w:r>
        <w:rPr>
          <w:rFonts w:ascii="Times New Roman" w:hAnsi="Times New Roman" w:eastAsia="宋体"/>
          <w:b w:val="0"/>
          <w:i w:val="0"/>
          <w:sz w:val="21"/>
        </w:rPr>
        <w:t>表1 主要变量描述性统计结果</w:t>
      </w:r>
    </w:p>
    <w:tbl>
      <w:tblPr>
        <w:tblStyle w:val="3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
        <w:gridCol w:w="1247"/>
        <w:gridCol w:w="1247"/>
        <w:gridCol w:w="1247"/>
        <w:gridCol w:w="1247"/>
        <w:gridCol w:w="1020"/>
        <w:gridCol w:w="1020"/>
      </w:tblGrid>
      <w:tr w14:paraId="2A2CB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shd w:val="clear" w:color="auto" w:fill="D9E2F3"/>
          </w:tcPr>
          <w:p w14:paraId="45ABF180">
            <w:pPr>
              <w:spacing w:before="0" w:after="0" w:line="240" w:lineRule="auto"/>
              <w:jc w:val="center"/>
            </w:pPr>
            <w:r>
              <w:rPr>
                <w:rFonts w:ascii="Times New Roman" w:hAnsi="Times New Roman" w:eastAsia="宋体"/>
                <w:b/>
                <w:i w:val="0"/>
                <w:sz w:val="21"/>
              </w:rPr>
              <w:t>变量</w:t>
            </w:r>
          </w:p>
        </w:tc>
        <w:tc>
          <w:tcPr>
            <w:tcW w:w="1247" w:type="dxa"/>
            <w:shd w:val="clear" w:color="auto" w:fill="D9E2F3"/>
          </w:tcPr>
          <w:p w14:paraId="57035839">
            <w:pPr>
              <w:spacing w:before="0" w:after="0" w:line="240" w:lineRule="auto"/>
              <w:jc w:val="center"/>
            </w:pPr>
            <w:r>
              <w:rPr>
                <w:rFonts w:ascii="Times New Roman" w:hAnsi="Times New Roman" w:eastAsia="宋体"/>
                <w:b/>
                <w:i w:val="0"/>
                <w:sz w:val="21"/>
              </w:rPr>
              <w:t>均值</w:t>
            </w:r>
          </w:p>
        </w:tc>
        <w:tc>
          <w:tcPr>
            <w:tcW w:w="1247" w:type="dxa"/>
            <w:shd w:val="clear" w:color="auto" w:fill="D9E2F3"/>
          </w:tcPr>
          <w:p w14:paraId="28BEF970">
            <w:pPr>
              <w:spacing w:before="0" w:after="0" w:line="240" w:lineRule="auto"/>
              <w:jc w:val="center"/>
            </w:pPr>
            <w:r>
              <w:rPr>
                <w:rFonts w:ascii="Times New Roman" w:hAnsi="Times New Roman" w:eastAsia="宋体"/>
                <w:b/>
                <w:i w:val="0"/>
                <w:sz w:val="21"/>
              </w:rPr>
              <w:t>标准差</w:t>
            </w:r>
          </w:p>
        </w:tc>
        <w:tc>
          <w:tcPr>
            <w:tcW w:w="1247" w:type="dxa"/>
            <w:shd w:val="clear" w:color="auto" w:fill="D9E2F3"/>
          </w:tcPr>
          <w:p w14:paraId="2B03FF8B">
            <w:pPr>
              <w:spacing w:before="0" w:after="0" w:line="240" w:lineRule="auto"/>
              <w:jc w:val="center"/>
            </w:pPr>
            <w:r>
              <w:rPr>
                <w:rFonts w:ascii="Times New Roman" w:hAnsi="Times New Roman" w:eastAsia="宋体"/>
                <w:b/>
                <w:i w:val="0"/>
                <w:sz w:val="21"/>
              </w:rPr>
              <w:t>最小值</w:t>
            </w:r>
          </w:p>
        </w:tc>
        <w:tc>
          <w:tcPr>
            <w:tcW w:w="1247" w:type="dxa"/>
            <w:shd w:val="clear" w:color="auto" w:fill="D9E2F3"/>
          </w:tcPr>
          <w:p w14:paraId="4AC2D381">
            <w:pPr>
              <w:spacing w:before="0" w:after="0" w:line="240" w:lineRule="auto"/>
              <w:jc w:val="center"/>
            </w:pPr>
            <w:r>
              <w:rPr>
                <w:rFonts w:ascii="Times New Roman" w:hAnsi="Times New Roman" w:eastAsia="宋体"/>
                <w:b/>
                <w:i w:val="0"/>
                <w:sz w:val="21"/>
              </w:rPr>
              <w:t>最大值</w:t>
            </w:r>
          </w:p>
        </w:tc>
        <w:tc>
          <w:tcPr>
            <w:tcW w:w="1020" w:type="dxa"/>
            <w:shd w:val="clear" w:color="auto" w:fill="D9E2F3"/>
          </w:tcPr>
          <w:p w14:paraId="1CE8BB9A">
            <w:pPr>
              <w:spacing w:before="0" w:after="0" w:line="240" w:lineRule="auto"/>
              <w:jc w:val="center"/>
            </w:pPr>
            <w:r>
              <w:rPr>
                <w:rFonts w:ascii="Times New Roman" w:hAnsi="Times New Roman" w:eastAsia="宋体"/>
                <w:b/>
                <w:i w:val="0"/>
                <w:sz w:val="21"/>
              </w:rPr>
              <w:t>偏度</w:t>
            </w:r>
          </w:p>
        </w:tc>
        <w:tc>
          <w:tcPr>
            <w:tcW w:w="1020" w:type="dxa"/>
            <w:shd w:val="clear" w:color="auto" w:fill="D9E2F3"/>
          </w:tcPr>
          <w:p w14:paraId="5BAD67E7">
            <w:pPr>
              <w:spacing w:before="0" w:after="0" w:line="240" w:lineRule="auto"/>
              <w:jc w:val="center"/>
            </w:pPr>
            <w:r>
              <w:rPr>
                <w:rFonts w:ascii="Times New Roman" w:hAnsi="Times New Roman" w:eastAsia="宋体"/>
                <w:b/>
                <w:i w:val="0"/>
                <w:sz w:val="21"/>
              </w:rPr>
              <w:t>峰度</w:t>
            </w:r>
          </w:p>
        </w:tc>
      </w:tr>
      <w:tr w14:paraId="4FF12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tcPr>
          <w:p w14:paraId="483F7EE8">
            <w:pPr>
              <w:spacing w:before="0" w:after="0" w:line="240" w:lineRule="auto"/>
              <w:jc w:val="center"/>
            </w:pPr>
            <w:r>
              <w:rPr>
                <w:rFonts w:ascii="Times New Roman" w:hAnsi="Times New Roman" w:eastAsia="宋体"/>
                <w:b w:val="0"/>
                <w:i w:val="0"/>
                <w:sz w:val="21"/>
              </w:rPr>
              <w:t>vol</w:t>
            </w:r>
          </w:p>
        </w:tc>
        <w:tc>
          <w:tcPr>
            <w:tcW w:w="1247" w:type="dxa"/>
          </w:tcPr>
          <w:p w14:paraId="47FB0AC9">
            <w:pPr>
              <w:spacing w:before="0" w:after="0" w:line="240" w:lineRule="auto"/>
              <w:jc w:val="center"/>
            </w:pPr>
            <w:r>
              <w:rPr>
                <w:rFonts w:ascii="Times New Roman" w:hAnsi="Times New Roman" w:eastAsia="宋体"/>
                <w:b w:val="0"/>
                <w:i w:val="0"/>
                <w:sz w:val="21"/>
              </w:rPr>
              <w:t>33577.86</w:t>
            </w:r>
          </w:p>
        </w:tc>
        <w:tc>
          <w:tcPr>
            <w:tcW w:w="1247" w:type="dxa"/>
          </w:tcPr>
          <w:p w14:paraId="2A779483">
            <w:pPr>
              <w:spacing w:before="0" w:after="0" w:line="240" w:lineRule="auto"/>
              <w:jc w:val="center"/>
            </w:pPr>
            <w:r>
              <w:rPr>
                <w:rFonts w:ascii="Times New Roman" w:hAnsi="Times New Roman" w:eastAsia="宋体"/>
                <w:b w:val="0"/>
                <w:i w:val="0"/>
                <w:sz w:val="21"/>
              </w:rPr>
              <w:t>17162.19</w:t>
            </w:r>
          </w:p>
        </w:tc>
        <w:tc>
          <w:tcPr>
            <w:tcW w:w="1247" w:type="dxa"/>
          </w:tcPr>
          <w:p w14:paraId="686F0AF9">
            <w:pPr>
              <w:spacing w:before="0" w:after="0" w:line="240" w:lineRule="auto"/>
              <w:jc w:val="center"/>
            </w:pPr>
            <w:r>
              <w:rPr>
                <w:rFonts w:ascii="Times New Roman" w:hAnsi="Times New Roman" w:eastAsia="宋体"/>
                <w:b w:val="0"/>
                <w:i w:val="0"/>
                <w:sz w:val="21"/>
              </w:rPr>
              <w:t>10321.04</w:t>
            </w:r>
          </w:p>
        </w:tc>
        <w:tc>
          <w:tcPr>
            <w:tcW w:w="1247" w:type="dxa"/>
          </w:tcPr>
          <w:p w14:paraId="0DF77545">
            <w:pPr>
              <w:spacing w:before="0" w:after="0" w:line="240" w:lineRule="auto"/>
              <w:jc w:val="center"/>
            </w:pPr>
            <w:r>
              <w:rPr>
                <w:rFonts w:ascii="Times New Roman" w:hAnsi="Times New Roman" w:eastAsia="宋体"/>
                <w:b w:val="0"/>
                <w:i w:val="0"/>
                <w:sz w:val="21"/>
              </w:rPr>
              <w:t>194709.50</w:t>
            </w:r>
          </w:p>
        </w:tc>
        <w:tc>
          <w:tcPr>
            <w:tcW w:w="1020" w:type="dxa"/>
          </w:tcPr>
          <w:p w14:paraId="7E7C84F1">
            <w:pPr>
              <w:spacing w:before="0" w:after="0" w:line="240" w:lineRule="auto"/>
              <w:jc w:val="center"/>
            </w:pPr>
            <w:r>
              <w:rPr>
                <w:rFonts w:ascii="Times New Roman" w:hAnsi="Times New Roman" w:eastAsia="宋体"/>
                <w:b w:val="0"/>
                <w:i w:val="0"/>
                <w:sz w:val="21"/>
              </w:rPr>
              <w:t>2.65</w:t>
            </w:r>
          </w:p>
        </w:tc>
        <w:tc>
          <w:tcPr>
            <w:tcW w:w="1020" w:type="dxa"/>
          </w:tcPr>
          <w:p w14:paraId="25605833">
            <w:pPr>
              <w:spacing w:before="0" w:after="0" w:line="240" w:lineRule="auto"/>
              <w:jc w:val="center"/>
            </w:pPr>
            <w:r>
              <w:rPr>
                <w:rFonts w:ascii="Times New Roman" w:hAnsi="Times New Roman" w:eastAsia="宋体"/>
                <w:b w:val="0"/>
                <w:i w:val="0"/>
                <w:sz w:val="21"/>
              </w:rPr>
              <w:t>12.72</w:t>
            </w:r>
          </w:p>
        </w:tc>
      </w:tr>
      <w:tr w14:paraId="072DA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tcPr>
          <w:p w14:paraId="1F4C8D94">
            <w:pPr>
              <w:spacing w:before="0" w:after="0" w:line="240" w:lineRule="auto"/>
              <w:jc w:val="center"/>
            </w:pPr>
            <w:r>
              <w:rPr>
                <w:rFonts w:ascii="Times New Roman" w:hAnsi="Times New Roman" w:eastAsia="宋体"/>
                <w:b w:val="0"/>
                <w:i w:val="0"/>
                <w:sz w:val="21"/>
              </w:rPr>
              <w:t>amount</w:t>
            </w:r>
          </w:p>
        </w:tc>
        <w:tc>
          <w:tcPr>
            <w:tcW w:w="1247" w:type="dxa"/>
          </w:tcPr>
          <w:p w14:paraId="682FD579">
            <w:pPr>
              <w:spacing w:before="0" w:after="0" w:line="240" w:lineRule="auto"/>
              <w:jc w:val="center"/>
            </w:pPr>
            <w:r>
              <w:rPr>
                <w:rFonts w:ascii="Times New Roman" w:hAnsi="Times New Roman" w:eastAsia="宋体"/>
                <w:b w:val="0"/>
                <w:i w:val="0"/>
                <w:sz w:val="21"/>
              </w:rPr>
              <w:t>5594498</w:t>
            </w:r>
          </w:p>
        </w:tc>
        <w:tc>
          <w:tcPr>
            <w:tcW w:w="1247" w:type="dxa"/>
          </w:tcPr>
          <w:p w14:paraId="4A61269A">
            <w:pPr>
              <w:spacing w:before="0" w:after="0" w:line="240" w:lineRule="auto"/>
              <w:jc w:val="center"/>
            </w:pPr>
            <w:r>
              <w:rPr>
                <w:rFonts w:ascii="Times New Roman" w:hAnsi="Times New Roman" w:eastAsia="宋体"/>
                <w:b w:val="0"/>
                <w:i w:val="0"/>
                <w:sz w:val="21"/>
              </w:rPr>
              <w:t>2918713</w:t>
            </w:r>
          </w:p>
        </w:tc>
        <w:tc>
          <w:tcPr>
            <w:tcW w:w="1247" w:type="dxa"/>
          </w:tcPr>
          <w:p w14:paraId="49C38A52">
            <w:pPr>
              <w:spacing w:before="0" w:after="0" w:line="240" w:lineRule="auto"/>
              <w:jc w:val="center"/>
            </w:pPr>
            <w:r>
              <w:rPr>
                <w:rFonts w:ascii="Times New Roman" w:hAnsi="Times New Roman" w:eastAsia="宋体"/>
                <w:b w:val="0"/>
                <w:i w:val="0"/>
                <w:sz w:val="21"/>
              </w:rPr>
              <w:t>1445537</w:t>
            </w:r>
          </w:p>
        </w:tc>
        <w:tc>
          <w:tcPr>
            <w:tcW w:w="1247" w:type="dxa"/>
          </w:tcPr>
          <w:p w14:paraId="046A89AB">
            <w:pPr>
              <w:spacing w:before="0" w:after="0" w:line="240" w:lineRule="auto"/>
              <w:jc w:val="center"/>
            </w:pPr>
            <w:r>
              <w:rPr>
                <w:rFonts w:ascii="Times New Roman" w:hAnsi="Times New Roman" w:eastAsia="宋体"/>
                <w:b w:val="0"/>
                <w:i w:val="0"/>
                <w:sz w:val="21"/>
              </w:rPr>
              <w:t>35114080</w:t>
            </w:r>
          </w:p>
        </w:tc>
        <w:tc>
          <w:tcPr>
            <w:tcW w:w="1020" w:type="dxa"/>
          </w:tcPr>
          <w:p w14:paraId="639E30F3">
            <w:pPr>
              <w:spacing w:before="0" w:after="0" w:line="240" w:lineRule="auto"/>
              <w:jc w:val="center"/>
            </w:pPr>
            <w:r>
              <w:rPr>
                <w:rFonts w:ascii="Times New Roman" w:hAnsi="Times New Roman" w:eastAsia="宋体"/>
                <w:b w:val="0"/>
                <w:i w:val="0"/>
                <w:sz w:val="21"/>
              </w:rPr>
              <w:t>2.52</w:t>
            </w:r>
          </w:p>
        </w:tc>
        <w:tc>
          <w:tcPr>
            <w:tcW w:w="1020" w:type="dxa"/>
          </w:tcPr>
          <w:p w14:paraId="7813B0C9">
            <w:pPr>
              <w:spacing w:before="0" w:after="0" w:line="240" w:lineRule="auto"/>
              <w:jc w:val="center"/>
            </w:pPr>
            <w:r>
              <w:rPr>
                <w:rFonts w:ascii="Times New Roman" w:hAnsi="Times New Roman" w:eastAsia="宋体"/>
                <w:b w:val="0"/>
                <w:i w:val="0"/>
                <w:sz w:val="21"/>
              </w:rPr>
              <w:t>12.44</w:t>
            </w:r>
          </w:p>
        </w:tc>
      </w:tr>
      <w:tr w14:paraId="5AC5C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tcPr>
          <w:p w14:paraId="31818787">
            <w:pPr>
              <w:spacing w:before="0" w:after="0" w:line="240" w:lineRule="auto"/>
              <w:jc w:val="center"/>
            </w:pPr>
            <w:r>
              <w:rPr>
                <w:rFonts w:ascii="Times New Roman" w:hAnsi="Times New Roman" w:eastAsia="宋体"/>
                <w:b w:val="0"/>
                <w:i w:val="0"/>
                <w:sz w:val="21"/>
              </w:rPr>
              <w:t>turnover_rate</w:t>
            </w:r>
          </w:p>
        </w:tc>
        <w:tc>
          <w:tcPr>
            <w:tcW w:w="1247" w:type="dxa"/>
          </w:tcPr>
          <w:p w14:paraId="5E3F6E39">
            <w:pPr>
              <w:spacing w:before="0" w:after="0" w:line="240" w:lineRule="auto"/>
              <w:jc w:val="center"/>
            </w:pPr>
            <w:r>
              <w:rPr>
                <w:rFonts w:ascii="Times New Roman" w:hAnsi="Times New Roman" w:eastAsia="宋体"/>
                <w:b w:val="0"/>
                <w:i w:val="0"/>
                <w:sz w:val="21"/>
              </w:rPr>
              <w:t>0.267</w:t>
            </w:r>
          </w:p>
        </w:tc>
        <w:tc>
          <w:tcPr>
            <w:tcW w:w="1247" w:type="dxa"/>
          </w:tcPr>
          <w:p w14:paraId="062B9E90">
            <w:pPr>
              <w:spacing w:before="0" w:after="0" w:line="240" w:lineRule="auto"/>
              <w:jc w:val="center"/>
            </w:pPr>
            <w:r>
              <w:rPr>
                <w:rFonts w:ascii="Times New Roman" w:hAnsi="Times New Roman" w:eastAsia="宋体"/>
                <w:b w:val="0"/>
                <w:i w:val="0"/>
                <w:sz w:val="21"/>
              </w:rPr>
              <w:t>0.137</w:t>
            </w:r>
          </w:p>
        </w:tc>
        <w:tc>
          <w:tcPr>
            <w:tcW w:w="1247" w:type="dxa"/>
          </w:tcPr>
          <w:p w14:paraId="3EE3E35D">
            <w:pPr>
              <w:spacing w:before="0" w:after="0" w:line="240" w:lineRule="auto"/>
              <w:jc w:val="center"/>
            </w:pPr>
            <w:r>
              <w:rPr>
                <w:rFonts w:ascii="Times New Roman" w:hAnsi="Times New Roman" w:eastAsia="宋体"/>
                <w:b w:val="0"/>
                <w:i w:val="0"/>
                <w:sz w:val="21"/>
              </w:rPr>
              <w:t>0.082</w:t>
            </w:r>
          </w:p>
        </w:tc>
        <w:tc>
          <w:tcPr>
            <w:tcW w:w="1247" w:type="dxa"/>
          </w:tcPr>
          <w:p w14:paraId="0A0D0EB5">
            <w:pPr>
              <w:spacing w:before="0" w:after="0" w:line="240" w:lineRule="auto"/>
              <w:jc w:val="center"/>
            </w:pPr>
            <w:r>
              <w:rPr>
                <w:rFonts w:ascii="Times New Roman" w:hAnsi="Times New Roman" w:eastAsia="宋体"/>
                <w:b w:val="0"/>
                <w:i w:val="0"/>
                <w:sz w:val="21"/>
              </w:rPr>
              <w:t>1.550</w:t>
            </w:r>
          </w:p>
        </w:tc>
        <w:tc>
          <w:tcPr>
            <w:tcW w:w="1020" w:type="dxa"/>
          </w:tcPr>
          <w:p w14:paraId="0F715775">
            <w:pPr>
              <w:spacing w:before="0" w:after="0" w:line="240" w:lineRule="auto"/>
              <w:jc w:val="center"/>
            </w:pPr>
            <w:r>
              <w:rPr>
                <w:rFonts w:ascii="Times New Roman" w:hAnsi="Times New Roman" w:eastAsia="宋体"/>
                <w:b w:val="0"/>
                <w:i w:val="0"/>
                <w:sz w:val="21"/>
              </w:rPr>
              <w:t>2.65</w:t>
            </w:r>
          </w:p>
        </w:tc>
        <w:tc>
          <w:tcPr>
            <w:tcW w:w="1020" w:type="dxa"/>
          </w:tcPr>
          <w:p w14:paraId="5EABABE4">
            <w:pPr>
              <w:spacing w:before="0" w:after="0" w:line="240" w:lineRule="auto"/>
              <w:jc w:val="center"/>
            </w:pPr>
            <w:r>
              <w:rPr>
                <w:rFonts w:ascii="Times New Roman" w:hAnsi="Times New Roman" w:eastAsia="宋体"/>
                <w:b w:val="0"/>
                <w:i w:val="0"/>
                <w:sz w:val="21"/>
              </w:rPr>
              <w:t>12.72</w:t>
            </w:r>
          </w:p>
        </w:tc>
      </w:tr>
      <w:tr w14:paraId="47887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tcPr>
          <w:p w14:paraId="73268B21">
            <w:pPr>
              <w:spacing w:before="0" w:after="0" w:line="240" w:lineRule="auto"/>
              <w:jc w:val="center"/>
            </w:pPr>
            <w:r>
              <w:rPr>
                <w:rFonts w:ascii="Times New Roman" w:hAnsi="Times New Roman" w:eastAsia="宋体"/>
                <w:b w:val="0"/>
                <w:i w:val="0"/>
                <w:sz w:val="21"/>
              </w:rPr>
              <w:t>pe_ttm</w:t>
            </w:r>
          </w:p>
        </w:tc>
        <w:tc>
          <w:tcPr>
            <w:tcW w:w="1247" w:type="dxa"/>
          </w:tcPr>
          <w:p w14:paraId="5CC7C1CB">
            <w:pPr>
              <w:spacing w:before="0" w:after="0" w:line="240" w:lineRule="auto"/>
              <w:jc w:val="center"/>
            </w:pPr>
            <w:r>
              <w:rPr>
                <w:rFonts w:ascii="Times New Roman" w:hAnsi="Times New Roman" w:eastAsia="宋体"/>
                <w:b w:val="0"/>
                <w:i w:val="0"/>
                <w:sz w:val="21"/>
              </w:rPr>
              <w:t>36.11</w:t>
            </w:r>
          </w:p>
        </w:tc>
        <w:tc>
          <w:tcPr>
            <w:tcW w:w="1247" w:type="dxa"/>
          </w:tcPr>
          <w:p w14:paraId="4D4EF917">
            <w:pPr>
              <w:spacing w:before="0" w:after="0" w:line="240" w:lineRule="auto"/>
              <w:jc w:val="center"/>
            </w:pPr>
            <w:r>
              <w:rPr>
                <w:rFonts w:ascii="Times New Roman" w:hAnsi="Times New Roman" w:eastAsia="宋体"/>
                <w:b w:val="0"/>
                <w:i w:val="0"/>
                <w:sz w:val="21"/>
              </w:rPr>
              <w:t>11.57</w:t>
            </w:r>
          </w:p>
        </w:tc>
        <w:tc>
          <w:tcPr>
            <w:tcW w:w="1247" w:type="dxa"/>
          </w:tcPr>
          <w:p w14:paraId="658F05C1">
            <w:pPr>
              <w:spacing w:before="0" w:after="0" w:line="240" w:lineRule="auto"/>
              <w:jc w:val="center"/>
            </w:pPr>
            <w:r>
              <w:rPr>
                <w:rFonts w:ascii="Times New Roman" w:hAnsi="Times New Roman" w:eastAsia="宋体"/>
                <w:b w:val="0"/>
                <w:i w:val="0"/>
                <w:sz w:val="21"/>
              </w:rPr>
              <w:t>19.16</w:t>
            </w:r>
          </w:p>
        </w:tc>
        <w:tc>
          <w:tcPr>
            <w:tcW w:w="1247" w:type="dxa"/>
          </w:tcPr>
          <w:p w14:paraId="7D873A83">
            <w:pPr>
              <w:spacing w:before="0" w:after="0" w:line="240" w:lineRule="auto"/>
              <w:jc w:val="center"/>
            </w:pPr>
            <w:r>
              <w:rPr>
                <w:rFonts w:ascii="Times New Roman" w:hAnsi="Times New Roman" w:eastAsia="宋体"/>
                <w:b w:val="0"/>
                <w:i w:val="0"/>
                <w:sz w:val="21"/>
              </w:rPr>
              <w:t>73.29</w:t>
            </w:r>
          </w:p>
        </w:tc>
        <w:tc>
          <w:tcPr>
            <w:tcW w:w="1020" w:type="dxa"/>
          </w:tcPr>
          <w:p w14:paraId="71C6FE0F">
            <w:pPr>
              <w:spacing w:before="0" w:after="0" w:line="240" w:lineRule="auto"/>
              <w:jc w:val="center"/>
            </w:pPr>
            <w:r>
              <w:rPr>
                <w:rFonts w:ascii="Times New Roman" w:hAnsi="Times New Roman" w:eastAsia="宋体"/>
                <w:b w:val="0"/>
                <w:i w:val="0"/>
                <w:sz w:val="21"/>
              </w:rPr>
              <w:t>0.32</w:t>
            </w:r>
          </w:p>
        </w:tc>
        <w:tc>
          <w:tcPr>
            <w:tcW w:w="1020" w:type="dxa"/>
          </w:tcPr>
          <w:p w14:paraId="5A4667C4">
            <w:pPr>
              <w:spacing w:before="0" w:after="0" w:line="240" w:lineRule="auto"/>
              <w:jc w:val="center"/>
            </w:pPr>
            <w:r>
              <w:rPr>
                <w:rFonts w:ascii="Times New Roman" w:hAnsi="Times New Roman" w:eastAsia="宋体"/>
                <w:b w:val="0"/>
                <w:i w:val="0"/>
                <w:sz w:val="21"/>
              </w:rPr>
              <w:t>-0.82</w:t>
            </w:r>
          </w:p>
        </w:tc>
      </w:tr>
      <w:tr w14:paraId="3DBA66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tcPr>
          <w:p w14:paraId="0655D3D6">
            <w:pPr>
              <w:spacing w:before="0" w:after="0" w:line="240" w:lineRule="auto"/>
              <w:jc w:val="center"/>
            </w:pPr>
            <w:r>
              <w:rPr>
                <w:rFonts w:ascii="Times New Roman" w:hAnsi="Times New Roman" w:eastAsia="宋体"/>
                <w:b w:val="0"/>
                <w:i w:val="0"/>
                <w:sz w:val="21"/>
              </w:rPr>
              <w:t>pb</w:t>
            </w:r>
          </w:p>
        </w:tc>
        <w:tc>
          <w:tcPr>
            <w:tcW w:w="1247" w:type="dxa"/>
          </w:tcPr>
          <w:p w14:paraId="0C552FA6">
            <w:pPr>
              <w:spacing w:before="0" w:after="0" w:line="240" w:lineRule="auto"/>
              <w:jc w:val="center"/>
            </w:pPr>
            <w:r>
              <w:rPr>
                <w:rFonts w:ascii="Times New Roman" w:hAnsi="Times New Roman" w:eastAsia="宋体"/>
                <w:b w:val="0"/>
                <w:i w:val="0"/>
                <w:sz w:val="21"/>
              </w:rPr>
              <w:t>11.52</w:t>
            </w:r>
          </w:p>
        </w:tc>
        <w:tc>
          <w:tcPr>
            <w:tcW w:w="1247" w:type="dxa"/>
          </w:tcPr>
          <w:p w14:paraId="080AC799">
            <w:pPr>
              <w:spacing w:before="0" w:after="0" w:line="240" w:lineRule="auto"/>
              <w:jc w:val="center"/>
            </w:pPr>
            <w:r>
              <w:rPr>
                <w:rFonts w:ascii="Times New Roman" w:hAnsi="Times New Roman" w:eastAsia="宋体"/>
                <w:b w:val="0"/>
                <w:i w:val="0"/>
                <w:sz w:val="21"/>
              </w:rPr>
              <w:t>2.89</w:t>
            </w:r>
          </w:p>
        </w:tc>
        <w:tc>
          <w:tcPr>
            <w:tcW w:w="1247" w:type="dxa"/>
          </w:tcPr>
          <w:p w14:paraId="313E014A">
            <w:pPr>
              <w:spacing w:before="0" w:after="0" w:line="240" w:lineRule="auto"/>
              <w:jc w:val="center"/>
            </w:pPr>
            <w:r>
              <w:rPr>
                <w:rFonts w:ascii="Times New Roman" w:hAnsi="Times New Roman" w:eastAsia="宋体"/>
                <w:b w:val="0"/>
                <w:i w:val="0"/>
                <w:sz w:val="21"/>
              </w:rPr>
              <w:t>6.82</w:t>
            </w:r>
          </w:p>
        </w:tc>
        <w:tc>
          <w:tcPr>
            <w:tcW w:w="1247" w:type="dxa"/>
          </w:tcPr>
          <w:p w14:paraId="20543DA8">
            <w:pPr>
              <w:spacing w:before="0" w:after="0" w:line="240" w:lineRule="auto"/>
              <w:jc w:val="center"/>
            </w:pPr>
            <w:r>
              <w:rPr>
                <w:rFonts w:ascii="Times New Roman" w:hAnsi="Times New Roman" w:eastAsia="宋体"/>
                <w:b w:val="0"/>
                <w:i w:val="0"/>
                <w:sz w:val="21"/>
              </w:rPr>
              <w:t>22.01</w:t>
            </w:r>
          </w:p>
        </w:tc>
        <w:tc>
          <w:tcPr>
            <w:tcW w:w="1020" w:type="dxa"/>
          </w:tcPr>
          <w:p w14:paraId="43A9A287">
            <w:pPr>
              <w:spacing w:before="0" w:after="0" w:line="240" w:lineRule="auto"/>
              <w:jc w:val="center"/>
            </w:pPr>
            <w:r>
              <w:rPr>
                <w:rFonts w:ascii="Times New Roman" w:hAnsi="Times New Roman" w:eastAsia="宋体"/>
                <w:b w:val="0"/>
                <w:i w:val="0"/>
                <w:sz w:val="21"/>
              </w:rPr>
              <w:t>0.49</w:t>
            </w:r>
          </w:p>
        </w:tc>
        <w:tc>
          <w:tcPr>
            <w:tcW w:w="1020" w:type="dxa"/>
          </w:tcPr>
          <w:p w14:paraId="0B735FE1">
            <w:pPr>
              <w:spacing w:before="0" w:after="0" w:line="240" w:lineRule="auto"/>
              <w:jc w:val="center"/>
            </w:pPr>
            <w:r>
              <w:rPr>
                <w:rFonts w:ascii="Times New Roman" w:hAnsi="Times New Roman" w:eastAsia="宋体"/>
                <w:b w:val="0"/>
                <w:i w:val="0"/>
                <w:sz w:val="21"/>
              </w:rPr>
              <w:t>-0.43</w:t>
            </w:r>
          </w:p>
        </w:tc>
      </w:tr>
      <w:tr w14:paraId="21AFD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tcPr>
          <w:p w14:paraId="4275AC44">
            <w:pPr>
              <w:spacing w:before="0" w:after="0" w:line="240" w:lineRule="auto"/>
              <w:jc w:val="center"/>
            </w:pPr>
            <w:r>
              <w:rPr>
                <w:rFonts w:ascii="Times New Roman" w:hAnsi="Times New Roman" w:eastAsia="宋体"/>
                <w:b w:val="0"/>
                <w:i w:val="0"/>
                <w:sz w:val="21"/>
              </w:rPr>
              <w:t>ps_ttm</w:t>
            </w:r>
          </w:p>
        </w:tc>
        <w:tc>
          <w:tcPr>
            <w:tcW w:w="1247" w:type="dxa"/>
          </w:tcPr>
          <w:p w14:paraId="7FC95EAB">
            <w:pPr>
              <w:spacing w:before="0" w:after="0" w:line="240" w:lineRule="auto"/>
              <w:jc w:val="center"/>
            </w:pPr>
            <w:r>
              <w:rPr>
                <w:rFonts w:ascii="Times New Roman" w:hAnsi="Times New Roman" w:eastAsia="宋体"/>
                <w:b w:val="0"/>
                <w:i w:val="0"/>
                <w:sz w:val="21"/>
              </w:rPr>
              <w:t>17.93</w:t>
            </w:r>
          </w:p>
        </w:tc>
        <w:tc>
          <w:tcPr>
            <w:tcW w:w="1247" w:type="dxa"/>
          </w:tcPr>
          <w:p w14:paraId="3A16E953">
            <w:pPr>
              <w:spacing w:before="0" w:after="0" w:line="240" w:lineRule="auto"/>
              <w:jc w:val="center"/>
            </w:pPr>
            <w:r>
              <w:rPr>
                <w:rFonts w:ascii="Times New Roman" w:hAnsi="Times New Roman" w:eastAsia="宋体"/>
                <w:b w:val="0"/>
                <w:i w:val="0"/>
                <w:sz w:val="21"/>
              </w:rPr>
              <w:t>5.50</w:t>
            </w:r>
          </w:p>
        </w:tc>
        <w:tc>
          <w:tcPr>
            <w:tcW w:w="1247" w:type="dxa"/>
          </w:tcPr>
          <w:p w14:paraId="033BA3B6">
            <w:pPr>
              <w:spacing w:before="0" w:after="0" w:line="240" w:lineRule="auto"/>
              <w:jc w:val="center"/>
            </w:pPr>
            <w:r>
              <w:rPr>
                <w:rFonts w:ascii="Times New Roman" w:hAnsi="Times New Roman" w:eastAsia="宋体"/>
                <w:b w:val="0"/>
                <w:i w:val="0"/>
                <w:sz w:val="21"/>
              </w:rPr>
              <w:t>9.66</w:t>
            </w:r>
          </w:p>
        </w:tc>
        <w:tc>
          <w:tcPr>
            <w:tcW w:w="1247" w:type="dxa"/>
          </w:tcPr>
          <w:p w14:paraId="74D5F296">
            <w:pPr>
              <w:spacing w:before="0" w:after="0" w:line="240" w:lineRule="auto"/>
              <w:jc w:val="center"/>
            </w:pPr>
            <w:r>
              <w:rPr>
                <w:rFonts w:ascii="Times New Roman" w:hAnsi="Times New Roman" w:eastAsia="宋体"/>
                <w:b w:val="0"/>
                <w:i w:val="0"/>
                <w:sz w:val="21"/>
              </w:rPr>
              <w:t>35.63</w:t>
            </w:r>
          </w:p>
        </w:tc>
        <w:tc>
          <w:tcPr>
            <w:tcW w:w="1020" w:type="dxa"/>
          </w:tcPr>
          <w:p w14:paraId="602773A3">
            <w:pPr>
              <w:spacing w:before="0" w:after="0" w:line="240" w:lineRule="auto"/>
              <w:jc w:val="center"/>
            </w:pPr>
            <w:r>
              <w:rPr>
                <w:rFonts w:ascii="Times New Roman" w:hAnsi="Times New Roman" w:eastAsia="宋体"/>
                <w:b w:val="0"/>
                <w:i w:val="0"/>
                <w:sz w:val="21"/>
              </w:rPr>
              <w:t>0.27</w:t>
            </w:r>
          </w:p>
        </w:tc>
        <w:tc>
          <w:tcPr>
            <w:tcW w:w="1020" w:type="dxa"/>
          </w:tcPr>
          <w:p w14:paraId="366D4326">
            <w:pPr>
              <w:spacing w:before="0" w:after="0" w:line="240" w:lineRule="auto"/>
              <w:jc w:val="center"/>
            </w:pPr>
            <w:r>
              <w:rPr>
                <w:rFonts w:ascii="Times New Roman" w:hAnsi="Times New Roman" w:eastAsia="宋体"/>
                <w:b w:val="0"/>
                <w:i w:val="0"/>
                <w:sz w:val="21"/>
              </w:rPr>
              <w:t>-0.83</w:t>
            </w:r>
          </w:p>
        </w:tc>
      </w:tr>
      <w:tr w14:paraId="02EA8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tcPr>
          <w:p w14:paraId="4564E1B8">
            <w:pPr>
              <w:spacing w:before="0" w:after="0" w:line="240" w:lineRule="auto"/>
              <w:jc w:val="center"/>
            </w:pPr>
            <w:r>
              <w:rPr>
                <w:rFonts w:ascii="Times New Roman" w:hAnsi="Times New Roman" w:eastAsia="宋体"/>
                <w:b w:val="0"/>
                <w:i w:val="0"/>
                <w:sz w:val="21"/>
              </w:rPr>
              <w:t>volume_ratio</w:t>
            </w:r>
          </w:p>
        </w:tc>
        <w:tc>
          <w:tcPr>
            <w:tcW w:w="1247" w:type="dxa"/>
          </w:tcPr>
          <w:p w14:paraId="4DBCC370">
            <w:pPr>
              <w:spacing w:before="0" w:after="0" w:line="240" w:lineRule="auto"/>
              <w:jc w:val="center"/>
            </w:pPr>
            <w:r>
              <w:rPr>
                <w:rFonts w:ascii="Times New Roman" w:hAnsi="Times New Roman" w:eastAsia="宋体"/>
                <w:b w:val="0"/>
                <w:i w:val="0"/>
                <w:sz w:val="21"/>
              </w:rPr>
              <w:t>1.03</w:t>
            </w:r>
          </w:p>
        </w:tc>
        <w:tc>
          <w:tcPr>
            <w:tcW w:w="1247" w:type="dxa"/>
          </w:tcPr>
          <w:p w14:paraId="3622F27C">
            <w:pPr>
              <w:spacing w:before="0" w:after="0" w:line="240" w:lineRule="auto"/>
              <w:jc w:val="center"/>
            </w:pPr>
            <w:r>
              <w:rPr>
                <w:rFonts w:ascii="Times New Roman" w:hAnsi="Times New Roman" w:eastAsia="宋体"/>
                <w:b w:val="0"/>
                <w:i w:val="0"/>
                <w:sz w:val="21"/>
              </w:rPr>
              <w:t>0.43</w:t>
            </w:r>
          </w:p>
        </w:tc>
        <w:tc>
          <w:tcPr>
            <w:tcW w:w="1247" w:type="dxa"/>
          </w:tcPr>
          <w:p w14:paraId="11F7C85A">
            <w:pPr>
              <w:spacing w:before="0" w:after="0" w:line="240" w:lineRule="auto"/>
              <w:jc w:val="center"/>
            </w:pPr>
            <w:r>
              <w:rPr>
                <w:rFonts w:ascii="Times New Roman" w:hAnsi="Times New Roman" w:eastAsia="宋体"/>
                <w:b w:val="0"/>
                <w:i w:val="0"/>
                <w:sz w:val="21"/>
              </w:rPr>
              <w:t>0.30</w:t>
            </w:r>
          </w:p>
        </w:tc>
        <w:tc>
          <w:tcPr>
            <w:tcW w:w="1247" w:type="dxa"/>
          </w:tcPr>
          <w:p w14:paraId="1D5BA789">
            <w:pPr>
              <w:spacing w:before="0" w:after="0" w:line="240" w:lineRule="auto"/>
              <w:jc w:val="center"/>
            </w:pPr>
            <w:r>
              <w:rPr>
                <w:rFonts w:ascii="Times New Roman" w:hAnsi="Times New Roman" w:eastAsia="宋体"/>
                <w:b w:val="0"/>
                <w:i w:val="0"/>
                <w:sz w:val="21"/>
              </w:rPr>
              <w:t>4.70</w:t>
            </w:r>
          </w:p>
        </w:tc>
        <w:tc>
          <w:tcPr>
            <w:tcW w:w="1020" w:type="dxa"/>
          </w:tcPr>
          <w:p w14:paraId="54ADD287">
            <w:pPr>
              <w:spacing w:before="0" w:after="0" w:line="240" w:lineRule="auto"/>
              <w:jc w:val="center"/>
            </w:pPr>
            <w:r>
              <w:rPr>
                <w:rFonts w:ascii="Times New Roman" w:hAnsi="Times New Roman" w:eastAsia="宋体"/>
                <w:b w:val="0"/>
                <w:i w:val="0"/>
                <w:sz w:val="21"/>
              </w:rPr>
              <w:t>2.45</w:t>
            </w:r>
          </w:p>
        </w:tc>
        <w:tc>
          <w:tcPr>
            <w:tcW w:w="1020" w:type="dxa"/>
          </w:tcPr>
          <w:p w14:paraId="0A2CCCED">
            <w:pPr>
              <w:spacing w:before="0" w:after="0" w:line="240" w:lineRule="auto"/>
              <w:jc w:val="center"/>
            </w:pPr>
            <w:r>
              <w:rPr>
                <w:rFonts w:ascii="Times New Roman" w:hAnsi="Times New Roman" w:eastAsia="宋体"/>
                <w:b w:val="0"/>
                <w:i w:val="0"/>
                <w:sz w:val="21"/>
              </w:rPr>
              <w:t>11.48</w:t>
            </w:r>
          </w:p>
        </w:tc>
      </w:tr>
      <w:tr w14:paraId="21770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tcPr>
          <w:p w14:paraId="41B89DD1">
            <w:pPr>
              <w:spacing w:before="0" w:after="0" w:line="240" w:lineRule="auto"/>
              <w:jc w:val="center"/>
            </w:pPr>
            <w:r>
              <w:rPr>
                <w:rFonts w:ascii="Times New Roman" w:hAnsi="Times New Roman" w:eastAsia="宋体"/>
                <w:b w:val="0"/>
                <w:i w:val="0"/>
                <w:sz w:val="21"/>
              </w:rPr>
              <w:t>dv_ttm</w:t>
            </w:r>
          </w:p>
        </w:tc>
        <w:tc>
          <w:tcPr>
            <w:tcW w:w="1247" w:type="dxa"/>
          </w:tcPr>
          <w:p w14:paraId="104E890C">
            <w:pPr>
              <w:spacing w:before="0" w:after="0" w:line="240" w:lineRule="auto"/>
              <w:jc w:val="center"/>
            </w:pPr>
            <w:r>
              <w:rPr>
                <w:rFonts w:ascii="Times New Roman" w:hAnsi="Times New Roman" w:eastAsia="宋体"/>
                <w:b w:val="0"/>
                <w:i w:val="0"/>
                <w:sz w:val="21"/>
              </w:rPr>
              <w:t>2.09</w:t>
            </w:r>
          </w:p>
        </w:tc>
        <w:tc>
          <w:tcPr>
            <w:tcW w:w="1247" w:type="dxa"/>
          </w:tcPr>
          <w:p w14:paraId="061A73D9">
            <w:pPr>
              <w:spacing w:before="0" w:after="0" w:line="240" w:lineRule="auto"/>
              <w:jc w:val="center"/>
            </w:pPr>
            <w:r>
              <w:rPr>
                <w:rFonts w:ascii="Times New Roman" w:hAnsi="Times New Roman" w:eastAsia="宋体"/>
                <w:b w:val="0"/>
                <w:i w:val="0"/>
                <w:sz w:val="21"/>
              </w:rPr>
              <w:t>1.09</w:t>
            </w:r>
          </w:p>
        </w:tc>
        <w:tc>
          <w:tcPr>
            <w:tcW w:w="1247" w:type="dxa"/>
          </w:tcPr>
          <w:p w14:paraId="69041023">
            <w:pPr>
              <w:spacing w:before="0" w:after="0" w:line="240" w:lineRule="auto"/>
              <w:jc w:val="center"/>
            </w:pPr>
            <w:r>
              <w:rPr>
                <w:rFonts w:ascii="Times New Roman" w:hAnsi="Times New Roman" w:eastAsia="宋体"/>
                <w:b w:val="0"/>
                <w:i w:val="0"/>
                <w:sz w:val="21"/>
              </w:rPr>
              <w:t>0.65</w:t>
            </w:r>
          </w:p>
        </w:tc>
        <w:tc>
          <w:tcPr>
            <w:tcW w:w="1247" w:type="dxa"/>
          </w:tcPr>
          <w:p w14:paraId="3DC0B07F">
            <w:pPr>
              <w:spacing w:before="0" w:after="0" w:line="240" w:lineRule="auto"/>
              <w:jc w:val="center"/>
            </w:pPr>
            <w:r>
              <w:rPr>
                <w:rFonts w:ascii="Times New Roman" w:hAnsi="Times New Roman" w:eastAsia="宋体"/>
                <w:b w:val="0"/>
                <w:i w:val="0"/>
                <w:sz w:val="21"/>
              </w:rPr>
              <w:t>5.17</w:t>
            </w:r>
          </w:p>
        </w:tc>
        <w:tc>
          <w:tcPr>
            <w:tcW w:w="1020" w:type="dxa"/>
          </w:tcPr>
          <w:p w14:paraId="7D1735F6">
            <w:pPr>
              <w:spacing w:before="0" w:after="0" w:line="240" w:lineRule="auto"/>
              <w:jc w:val="center"/>
            </w:pPr>
            <w:r>
              <w:rPr>
                <w:rFonts w:ascii="Times New Roman" w:hAnsi="Times New Roman" w:eastAsia="宋体"/>
                <w:b w:val="0"/>
                <w:i w:val="0"/>
                <w:sz w:val="21"/>
              </w:rPr>
              <w:t>0.32</w:t>
            </w:r>
          </w:p>
        </w:tc>
        <w:tc>
          <w:tcPr>
            <w:tcW w:w="1020" w:type="dxa"/>
          </w:tcPr>
          <w:p w14:paraId="356A33D5">
            <w:pPr>
              <w:spacing w:before="0" w:after="0" w:line="240" w:lineRule="auto"/>
              <w:jc w:val="center"/>
            </w:pPr>
            <w:r>
              <w:rPr>
                <w:rFonts w:ascii="Times New Roman" w:hAnsi="Times New Roman" w:eastAsia="宋体"/>
                <w:b w:val="0"/>
                <w:i w:val="0"/>
                <w:sz w:val="21"/>
              </w:rPr>
              <w:t>-1.37</w:t>
            </w:r>
          </w:p>
        </w:tc>
      </w:tr>
      <w:tr w14:paraId="15BD69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tcPr>
          <w:p w14:paraId="6466920C">
            <w:pPr>
              <w:spacing w:before="0" w:after="0" w:line="240" w:lineRule="auto"/>
              <w:jc w:val="center"/>
            </w:pPr>
            <w:r>
              <w:rPr>
                <w:rFonts w:ascii="Times New Roman" w:hAnsi="Times New Roman" w:eastAsia="宋体"/>
                <w:b w:val="0"/>
                <w:i w:val="0"/>
                <w:sz w:val="21"/>
              </w:rPr>
              <w:t>net_mf_vol</w:t>
            </w:r>
          </w:p>
        </w:tc>
        <w:tc>
          <w:tcPr>
            <w:tcW w:w="1247" w:type="dxa"/>
          </w:tcPr>
          <w:p w14:paraId="6847C476">
            <w:pPr>
              <w:spacing w:before="0" w:after="0" w:line="240" w:lineRule="auto"/>
              <w:jc w:val="center"/>
            </w:pPr>
            <w:r>
              <w:rPr>
                <w:rFonts w:ascii="Times New Roman" w:hAnsi="Times New Roman" w:eastAsia="宋体"/>
                <w:b w:val="0"/>
                <w:i w:val="0"/>
                <w:sz w:val="21"/>
              </w:rPr>
              <w:t>116.72</w:t>
            </w:r>
          </w:p>
        </w:tc>
        <w:tc>
          <w:tcPr>
            <w:tcW w:w="1247" w:type="dxa"/>
          </w:tcPr>
          <w:p w14:paraId="0C879FAB">
            <w:pPr>
              <w:spacing w:before="0" w:after="0" w:line="240" w:lineRule="auto"/>
              <w:jc w:val="center"/>
            </w:pPr>
            <w:r>
              <w:rPr>
                <w:rFonts w:ascii="Times New Roman" w:hAnsi="Times New Roman" w:eastAsia="宋体"/>
                <w:b w:val="0"/>
                <w:i w:val="0"/>
                <w:sz w:val="21"/>
              </w:rPr>
              <w:t>4716.81</w:t>
            </w:r>
          </w:p>
        </w:tc>
        <w:tc>
          <w:tcPr>
            <w:tcW w:w="1247" w:type="dxa"/>
          </w:tcPr>
          <w:p w14:paraId="3B8CD57A">
            <w:pPr>
              <w:spacing w:before="0" w:after="0" w:line="240" w:lineRule="auto"/>
              <w:jc w:val="center"/>
            </w:pPr>
            <w:r>
              <w:rPr>
                <w:rFonts w:ascii="Times New Roman" w:hAnsi="Times New Roman" w:eastAsia="宋体"/>
                <w:b w:val="0"/>
                <w:i w:val="0"/>
                <w:sz w:val="21"/>
              </w:rPr>
              <w:t>-24774</w:t>
            </w:r>
          </w:p>
        </w:tc>
        <w:tc>
          <w:tcPr>
            <w:tcW w:w="1247" w:type="dxa"/>
          </w:tcPr>
          <w:p w14:paraId="62EE2DD5">
            <w:pPr>
              <w:spacing w:before="0" w:after="0" w:line="240" w:lineRule="auto"/>
              <w:jc w:val="center"/>
            </w:pPr>
            <w:r>
              <w:rPr>
                <w:rFonts w:ascii="Times New Roman" w:hAnsi="Times New Roman" w:eastAsia="宋体"/>
                <w:b w:val="0"/>
                <w:i w:val="0"/>
                <w:sz w:val="21"/>
              </w:rPr>
              <w:t>28185</w:t>
            </w:r>
          </w:p>
        </w:tc>
        <w:tc>
          <w:tcPr>
            <w:tcW w:w="1020" w:type="dxa"/>
          </w:tcPr>
          <w:p w14:paraId="0BD11689">
            <w:pPr>
              <w:spacing w:before="0" w:after="0" w:line="240" w:lineRule="auto"/>
              <w:jc w:val="center"/>
            </w:pPr>
            <w:r>
              <w:rPr>
                <w:rFonts w:ascii="Times New Roman" w:hAnsi="Times New Roman" w:eastAsia="宋体"/>
                <w:b w:val="0"/>
                <w:i w:val="0"/>
                <w:sz w:val="21"/>
              </w:rPr>
              <w:t>0.48</w:t>
            </w:r>
          </w:p>
        </w:tc>
        <w:tc>
          <w:tcPr>
            <w:tcW w:w="1020" w:type="dxa"/>
          </w:tcPr>
          <w:p w14:paraId="74A815AF">
            <w:pPr>
              <w:spacing w:before="0" w:after="0" w:line="240" w:lineRule="auto"/>
              <w:jc w:val="center"/>
            </w:pPr>
            <w:r>
              <w:rPr>
                <w:rFonts w:ascii="Times New Roman" w:hAnsi="Times New Roman" w:eastAsia="宋体"/>
                <w:b w:val="0"/>
                <w:i w:val="0"/>
                <w:sz w:val="21"/>
              </w:rPr>
              <w:t>2.84</w:t>
            </w:r>
          </w:p>
        </w:tc>
      </w:tr>
      <w:tr w14:paraId="62095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tcPr>
          <w:p w14:paraId="652E1166">
            <w:pPr>
              <w:spacing w:before="0" w:after="0" w:line="240" w:lineRule="auto"/>
              <w:jc w:val="center"/>
            </w:pPr>
            <w:r>
              <w:rPr>
                <w:rFonts w:ascii="Times New Roman" w:hAnsi="Times New Roman" w:eastAsia="宋体"/>
                <w:b w:val="0"/>
                <w:i w:val="0"/>
                <w:sz w:val="21"/>
              </w:rPr>
              <w:t>pct_chg</w:t>
            </w:r>
          </w:p>
        </w:tc>
        <w:tc>
          <w:tcPr>
            <w:tcW w:w="1247" w:type="dxa"/>
          </w:tcPr>
          <w:p w14:paraId="5C993073">
            <w:pPr>
              <w:spacing w:before="0" w:after="0" w:line="240" w:lineRule="auto"/>
              <w:jc w:val="center"/>
            </w:pPr>
            <w:r>
              <w:rPr>
                <w:rFonts w:ascii="Times New Roman" w:hAnsi="Times New Roman" w:eastAsia="宋体"/>
                <w:b w:val="0"/>
                <w:i w:val="0"/>
                <w:sz w:val="21"/>
              </w:rPr>
              <w:t>0.036</w:t>
            </w:r>
          </w:p>
        </w:tc>
        <w:tc>
          <w:tcPr>
            <w:tcW w:w="1247" w:type="dxa"/>
          </w:tcPr>
          <w:p w14:paraId="2299645A">
            <w:pPr>
              <w:spacing w:before="0" w:after="0" w:line="240" w:lineRule="auto"/>
              <w:jc w:val="center"/>
            </w:pPr>
            <w:r>
              <w:rPr>
                <w:rFonts w:ascii="Times New Roman" w:hAnsi="Times New Roman" w:eastAsia="宋体"/>
                <w:b w:val="0"/>
                <w:i w:val="0"/>
                <w:sz w:val="21"/>
              </w:rPr>
              <w:t>1.752</w:t>
            </w:r>
          </w:p>
        </w:tc>
        <w:tc>
          <w:tcPr>
            <w:tcW w:w="1247" w:type="dxa"/>
          </w:tcPr>
          <w:p w14:paraId="7CF5A3EA">
            <w:pPr>
              <w:spacing w:before="0" w:after="0" w:line="240" w:lineRule="auto"/>
              <w:jc w:val="center"/>
            </w:pPr>
            <w:r>
              <w:rPr>
                <w:rFonts w:ascii="Times New Roman" w:hAnsi="Times New Roman" w:eastAsia="宋体"/>
                <w:b w:val="0"/>
                <w:i w:val="0"/>
                <w:sz w:val="21"/>
              </w:rPr>
              <w:t>-7.905</w:t>
            </w:r>
          </w:p>
        </w:tc>
        <w:tc>
          <w:tcPr>
            <w:tcW w:w="1247" w:type="dxa"/>
          </w:tcPr>
          <w:p w14:paraId="569E8957">
            <w:pPr>
              <w:spacing w:before="0" w:after="0" w:line="240" w:lineRule="auto"/>
              <w:jc w:val="center"/>
            </w:pPr>
            <w:r>
              <w:rPr>
                <w:rFonts w:ascii="Times New Roman" w:hAnsi="Times New Roman" w:eastAsia="宋体"/>
                <w:b w:val="0"/>
                <w:i w:val="0"/>
                <w:sz w:val="21"/>
              </w:rPr>
              <w:t>9.504</w:t>
            </w:r>
          </w:p>
        </w:tc>
        <w:tc>
          <w:tcPr>
            <w:tcW w:w="1020" w:type="dxa"/>
          </w:tcPr>
          <w:p w14:paraId="441EA706">
            <w:pPr>
              <w:spacing w:before="0" w:after="0" w:line="240" w:lineRule="auto"/>
              <w:jc w:val="center"/>
            </w:pPr>
            <w:r>
              <w:rPr>
                <w:rFonts w:ascii="Times New Roman" w:hAnsi="Times New Roman" w:eastAsia="宋体"/>
                <w:b w:val="0"/>
                <w:i w:val="0"/>
                <w:sz w:val="21"/>
              </w:rPr>
              <w:t>0.33</w:t>
            </w:r>
          </w:p>
        </w:tc>
        <w:tc>
          <w:tcPr>
            <w:tcW w:w="1020" w:type="dxa"/>
          </w:tcPr>
          <w:p w14:paraId="5C0A9EDA">
            <w:pPr>
              <w:spacing w:before="0" w:after="0" w:line="240" w:lineRule="auto"/>
              <w:jc w:val="center"/>
            </w:pPr>
            <w:r>
              <w:rPr>
                <w:rFonts w:ascii="Times New Roman" w:hAnsi="Times New Roman" w:eastAsia="宋体"/>
                <w:b w:val="0"/>
                <w:i w:val="0"/>
                <w:sz w:val="21"/>
              </w:rPr>
              <w:t>3.61</w:t>
            </w:r>
          </w:p>
        </w:tc>
      </w:tr>
    </w:tbl>
    <w:p w14:paraId="2E9A3224">
      <w:pPr>
        <w:spacing w:before="0" w:after="0" w:line="360" w:lineRule="auto"/>
        <w:ind w:firstLine="480"/>
        <w:jc w:val="both"/>
      </w:pPr>
      <w:r>
        <w:rPr>
          <w:rFonts w:ascii="Times New Roman" w:hAnsi="Times New Roman" w:eastAsia="宋体"/>
          <w:b w:val="0"/>
          <w:i w:val="0"/>
          <w:sz w:val="24"/>
        </w:rPr>
        <w:t>从上述统计结果可以看出，日收益率pct_chg的均值接近零，标准差约为1.75%，说明大部分交易日的涨跌幅集中在较小的范围内。该变量的偏度为0.33，呈现轻微的右偏分布，峰度为3.61，高于正态分布的峰度值3，表明收益率分布具有一定的尖峰厚尾特征，这与金融学中关于资产收益率分布的经典结论一致。</w:t>
      </w:r>
    </w:p>
    <w:p w14:paraId="110D7FEF">
      <w:pPr>
        <w:spacing w:before="0" w:after="0" w:line="360" w:lineRule="auto"/>
        <w:ind w:firstLine="480"/>
        <w:jc w:val="both"/>
      </w:pPr>
      <w:r>
        <w:rPr>
          <w:rFonts w:ascii="Times New Roman" w:hAnsi="Times New Roman" w:eastAsia="宋体"/>
          <w:b w:val="0"/>
          <w:i w:val="0"/>
          <w:sz w:val="24"/>
        </w:rPr>
        <w:t>成交量vol和换手率turnover_rate等交易活跃度指标的偏度均超过2.6、峰度超过12，呈现非常显著的右偏和尖峰特征，说明在多数交易日中市场交投相对平淡，但偶尔会出现成交量急剧放大的极端情况。相比之下，估值类指标如滚动市盈率pe_ttm和市净率pb的偏度较小，分布相对对称，反映了贵州茅台在研究期间估值水平的变化较为平稳。</w:t>
      </w:r>
    </w:p>
    <w:p w14:paraId="178DFF42">
      <w:pPr>
        <w:spacing w:before="0" w:after="0" w:line="360" w:lineRule="auto"/>
        <w:ind w:firstLine="480"/>
        <w:jc w:val="both"/>
      </w:pPr>
      <w:r>
        <w:rPr>
          <w:rFonts w:ascii="Times New Roman" w:hAnsi="Times New Roman" w:eastAsia="宋体"/>
          <w:b w:val="0"/>
          <w:i w:val="0"/>
          <w:sz w:val="24"/>
        </w:rPr>
        <w:t>如图2所示，各变量的分布直方图更加直观地展示了上述特征。可以观察到成交量和换手率的直方图呈明显的右偏形态，长尾向右延伸，而估值类指标则近似呈单峰分布。日收益率的直方图呈现出以零为中心的近似对称分布，但两端的厚尾现象清晰可见。</w:t>
      </w:r>
    </w:p>
    <w:p w14:paraId="795B6E7D">
      <w:pPr>
        <w:spacing w:before="120" w:after="0" w:line="240" w:lineRule="auto"/>
        <w:jc w:val="center"/>
      </w:pPr>
      <w:r>
        <w:drawing>
          <wp:inline distT="0" distB="0" distL="114300" distR="114300">
            <wp:extent cx="5399405" cy="2228850"/>
            <wp:effectExtent l="0" t="0" r="1079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8"/>
                    <a:stretch>
                      <a:fillRect/>
                    </a:stretch>
                  </pic:blipFill>
                  <pic:spPr>
                    <a:xfrm>
                      <a:off x="0" y="0"/>
                      <a:ext cx="5400000" cy="2229017"/>
                    </a:xfrm>
                    <a:prstGeom prst="rect">
                      <a:avLst/>
                    </a:prstGeom>
                  </pic:spPr>
                </pic:pic>
              </a:graphicData>
            </a:graphic>
          </wp:inline>
        </w:drawing>
      </w:r>
    </w:p>
    <w:p w14:paraId="6E7204FB">
      <w:pPr>
        <w:spacing w:before="0" w:after="120" w:line="360" w:lineRule="auto"/>
        <w:jc w:val="center"/>
      </w:pPr>
      <w:r>
        <w:rPr>
          <w:rFonts w:ascii="Times New Roman" w:hAnsi="Times New Roman" w:eastAsia="宋体"/>
          <w:b w:val="0"/>
          <w:i w:val="0"/>
          <w:sz w:val="21"/>
        </w:rPr>
        <w:t>图2 各分析变量分布直方图</w:t>
      </w:r>
    </w:p>
    <w:p w14:paraId="682049AE">
      <w:pPr>
        <w:spacing w:before="0" w:after="0" w:line="360" w:lineRule="auto"/>
        <w:ind w:firstLine="480"/>
        <w:jc w:val="both"/>
      </w:pPr>
      <w:r>
        <w:rPr>
          <w:rFonts w:ascii="Times New Roman" w:hAnsi="Times New Roman" w:eastAsia="宋体"/>
          <w:b w:val="0"/>
          <w:i w:val="0"/>
          <w:sz w:val="24"/>
        </w:rPr>
        <w:t>如图3所示，贵州茅台在2020年至2021年上半年期间经历了一轮快速上涨行情，股价从约1100元攀升至超过2600元的历史高位。此后股价进入长期调整阶段，至2025年底回落至1400元附近。日收益率的时序图显示，在股价剧烈波动的时段，收益率的波动幅度也相应增大，这种波动聚集现象在金融时间序列中十分常见。</w:t>
      </w:r>
    </w:p>
    <w:p w14:paraId="3B5D1277">
      <w:pPr>
        <w:spacing w:before="120" w:after="0" w:line="240" w:lineRule="auto"/>
        <w:jc w:val="center"/>
      </w:pPr>
      <w:r>
        <w:drawing>
          <wp:inline distT="0" distB="0" distL="114300" distR="114300">
            <wp:extent cx="5399405" cy="3067685"/>
            <wp:effectExtent l="0" t="0" r="10795" b="184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stretch>
                      <a:fillRect/>
                    </a:stretch>
                  </pic:blipFill>
                  <pic:spPr>
                    <a:xfrm>
                      <a:off x="0" y="0"/>
                      <a:ext cx="5400000" cy="3067946"/>
                    </a:xfrm>
                    <a:prstGeom prst="rect">
                      <a:avLst/>
                    </a:prstGeom>
                  </pic:spPr>
                </pic:pic>
              </a:graphicData>
            </a:graphic>
          </wp:inline>
        </w:drawing>
      </w:r>
    </w:p>
    <w:p w14:paraId="5E356D96">
      <w:pPr>
        <w:spacing w:before="0" w:after="120" w:line="360" w:lineRule="auto"/>
        <w:jc w:val="center"/>
      </w:pPr>
      <w:r>
        <w:rPr>
          <w:rFonts w:ascii="Times New Roman" w:hAnsi="Times New Roman" w:eastAsia="宋体"/>
          <w:b w:val="0"/>
          <w:i w:val="0"/>
          <w:sz w:val="21"/>
        </w:rPr>
        <w:t>图3 贵州茅台收盘价走势与日收益率时序图</w:t>
      </w:r>
    </w:p>
    <w:p w14:paraId="6B1C9C62">
      <w:r>
        <w:br w:type="page"/>
      </w:r>
    </w:p>
    <w:p w14:paraId="0E2ACBA5">
      <w:pPr>
        <w:spacing w:before="240" w:after="120" w:line="360" w:lineRule="auto"/>
        <w:jc w:val="left"/>
      </w:pPr>
      <w:r>
        <w:rPr>
          <w:rFonts w:ascii="Times New Roman" w:hAnsi="Times New Roman" w:eastAsia="宋体"/>
          <w:b/>
          <w:i w:val="0"/>
          <w:sz w:val="28"/>
        </w:rPr>
        <w:t>四、相关系数分析与多重共线性检验</w:t>
      </w:r>
    </w:p>
    <w:p w14:paraId="39DC038A">
      <w:pPr>
        <w:spacing w:before="120" w:after="60" w:line="360" w:lineRule="auto"/>
        <w:jc w:val="left"/>
      </w:pPr>
      <w:r>
        <w:rPr>
          <w:rFonts w:ascii="Times New Roman" w:hAnsi="Times New Roman" w:eastAsia="宋体"/>
          <w:b/>
          <w:i w:val="0"/>
          <w:sz w:val="24"/>
        </w:rPr>
        <w:t>4.1 Pearson相关系数分析</w:t>
      </w:r>
    </w:p>
    <w:p w14:paraId="1A7DED93">
      <w:pPr>
        <w:spacing w:before="0" w:after="0" w:line="360" w:lineRule="auto"/>
        <w:ind w:firstLine="480"/>
        <w:jc w:val="both"/>
      </w:pPr>
      <w:r>
        <w:rPr>
          <w:rFonts w:ascii="Times New Roman" w:hAnsi="Times New Roman" w:eastAsia="宋体"/>
          <w:b w:val="0"/>
          <w:i w:val="0"/>
          <w:sz w:val="24"/>
        </w:rPr>
        <w:t>为初步了解各特征变量与响应变量之间的线性关联程度，计算了全部分析变量之间的Pearson相关系数矩阵。如图4所示的热力图清晰地展现了变量间的相关关系。从图中可以看出，资金净流入量net_mf_vol与日收益率pct_chg之间存在最为显著的正相关关系，相关系数高达0.776，这表明资金面因素对个股短期收益率具有非常强的解释力。成交额amount和市净率pb与收益率的相关系数分别为0.067和0.058，虽然数值较小，但方向为正，符合市场活跃度提升伴随价格上涨的一般规律。股息率dv_ttm与收益率的相关系数为-0.039，呈现微弱的负相关。</w:t>
      </w:r>
    </w:p>
    <w:p w14:paraId="2C6FABC1">
      <w:pPr>
        <w:spacing w:before="120" w:after="0" w:line="240" w:lineRule="auto"/>
        <w:jc w:val="center"/>
      </w:pPr>
      <w:r>
        <w:drawing>
          <wp:inline distT="0" distB="0" distL="114300" distR="114300">
            <wp:extent cx="5399405" cy="4798060"/>
            <wp:effectExtent l="0" t="0" r="1079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0"/>
                    <a:stretch>
                      <a:fillRect/>
                    </a:stretch>
                  </pic:blipFill>
                  <pic:spPr>
                    <a:xfrm>
                      <a:off x="0" y="0"/>
                      <a:ext cx="5400000" cy="4798204"/>
                    </a:xfrm>
                    <a:prstGeom prst="rect">
                      <a:avLst/>
                    </a:prstGeom>
                  </pic:spPr>
                </pic:pic>
              </a:graphicData>
            </a:graphic>
          </wp:inline>
        </w:drawing>
      </w:r>
    </w:p>
    <w:p w14:paraId="76E48F29">
      <w:pPr>
        <w:spacing w:before="0" w:after="120" w:line="360" w:lineRule="auto"/>
        <w:jc w:val="center"/>
      </w:pPr>
      <w:r>
        <w:rPr>
          <w:rFonts w:ascii="Times New Roman" w:hAnsi="Times New Roman" w:eastAsia="宋体"/>
          <w:b w:val="0"/>
          <w:i w:val="0"/>
          <w:sz w:val="21"/>
        </w:rPr>
        <w:t>图4 特征变量与响应变量相关系数热力图</w:t>
      </w:r>
    </w:p>
    <w:p w14:paraId="53C3C5E3">
      <w:pPr>
        <w:spacing w:before="0" w:after="0" w:line="360" w:lineRule="auto"/>
        <w:ind w:firstLine="480"/>
        <w:jc w:val="both"/>
      </w:pPr>
      <w:r>
        <w:rPr>
          <w:rFonts w:ascii="Times New Roman" w:hAnsi="Times New Roman" w:eastAsia="宋体"/>
          <w:b w:val="0"/>
          <w:i w:val="0"/>
          <w:sz w:val="24"/>
        </w:rPr>
        <w:t>值得注意的是，部分特征变量之间存在很高的相关性。例如成交量vol与换手率turnover_rate的相关系数接近1，滚动市盈率pe_ttm与市净率pb以及滚动市销率ps_ttm之间也存在强相关关系。这种特征间的高度共线性会导致回归系数的估计不稳定，因此需要通过方差膨胀因子检验进一步诊断并处理。</w:t>
      </w:r>
    </w:p>
    <w:p w14:paraId="112570F0">
      <w:pPr>
        <w:spacing w:before="120" w:after="60" w:line="360" w:lineRule="auto"/>
        <w:jc w:val="left"/>
      </w:pPr>
      <w:r>
        <w:rPr>
          <w:rFonts w:ascii="Times New Roman" w:hAnsi="Times New Roman" w:eastAsia="宋体"/>
          <w:b/>
          <w:i w:val="0"/>
          <w:sz w:val="24"/>
        </w:rPr>
        <w:t>4.2 方差膨胀因子检验</w:t>
      </w:r>
    </w:p>
    <w:p w14:paraId="55B65BE6">
      <w:pPr>
        <w:spacing w:before="0" w:after="0" w:line="360" w:lineRule="auto"/>
        <w:ind w:firstLine="480"/>
        <w:jc w:val="both"/>
      </w:pPr>
      <w:r>
        <w:rPr>
          <w:rFonts w:ascii="Times New Roman" w:hAnsi="Times New Roman" w:eastAsia="宋体"/>
          <w:b w:val="0"/>
          <w:i w:val="0"/>
          <w:sz w:val="24"/>
        </w:rPr>
        <w:t>方差膨胀因子VIF是检验多重共线性最常用的指标之一，其计算公式如下：</w:t>
      </w:r>
    </w:p>
    <w:p w14:paraId="46122E67">
      <w:pPr>
        <w:spacing w:before="60" w:after="60" w:line="360" w:lineRule="auto"/>
        <w:jc w:val="center"/>
      </w:pPr>
      <m:oMathPara>
        <m:oMath>
          <m:sSub>
            <m:sSubPr/>
            <m:e>
              <m:r>
                <m:rPr/>
                <w:rPr>
                  <w:rFonts w:ascii="Cambria Math" w:hAnsi="Cambria Math"/>
                  <w:sz w:val="24"/>
                </w:rPr>
                <m:t>VIF</m:t>
              </m:r>
            </m:e>
            <m:sub>
              <m:r>
                <m:rPr/>
                <w:rPr>
                  <w:rFonts w:ascii="Cambria Math" w:hAnsi="Cambria Math"/>
                  <w:sz w:val="24"/>
                </w:rPr>
                <m:t>j</m:t>
              </m:r>
            </m:sub>
          </m:sSub>
          <m:r>
            <m:rPr>
              <m:sty m:val="p"/>
            </m:rPr>
            <w:rPr>
              <w:rFonts w:ascii="Cambria Math" w:hAnsi="Cambria Math"/>
              <w:sz w:val="24"/>
            </w:rPr>
            <m:t>=</m:t>
          </m:r>
          <m:f>
            <m:fPr/>
            <m:num>
              <m:r>
                <m:rPr/>
                <w:rPr>
                  <w:rFonts w:ascii="Cambria Math" w:hAnsi="Cambria Math"/>
                  <w:sz w:val="24"/>
                </w:rPr>
                <m:t>1</m:t>
              </m:r>
            </m:num>
            <m:den>
              <m:r>
                <m:rPr/>
                <w:rPr>
                  <w:rFonts w:ascii="Cambria Math" w:hAnsi="Cambria Math"/>
                  <w:sz w:val="24"/>
                </w:rPr>
                <m:t>1</m:t>
              </m:r>
              <m:r>
                <m:rPr>
                  <m:sty m:val="p"/>
                </m:rPr>
                <w:rPr>
                  <w:rFonts w:ascii="Cambria Math" w:hAnsi="Cambria Math"/>
                  <w:sz w:val="24"/>
                </w:rPr>
                <m:t>−</m:t>
              </m:r>
              <m:sSup>
                <m:sSupPr/>
                <m:e>
                  <m:sSub>
                    <m:sSubPr/>
                    <m:e>
                      <m:r>
                        <m:rPr/>
                        <w:rPr>
                          <w:rFonts w:ascii="Cambria Math" w:hAnsi="Cambria Math"/>
                          <w:sz w:val="24"/>
                        </w:rPr>
                        <m:t>R</m:t>
                      </m:r>
                    </m:e>
                    <m:sub>
                      <m:r>
                        <m:rPr/>
                        <w:rPr>
                          <w:rFonts w:ascii="Cambria Math" w:hAnsi="Cambria Math"/>
                          <w:sz w:val="24"/>
                        </w:rPr>
                        <m:t>j</m:t>
                      </m:r>
                    </m:sub>
                  </m:sSub>
                </m:e>
                <m:sup>
                  <m:r>
                    <m:rPr/>
                    <w:rPr>
                      <w:rFonts w:ascii="Cambria Math" w:hAnsi="Cambria Math"/>
                      <w:sz w:val="24"/>
                    </w:rPr>
                    <m:t>2</m:t>
                  </m:r>
                </m:sup>
              </m:sSup>
            </m:den>
          </m:f>
        </m:oMath>
      </m:oMathPara>
    </w:p>
    <w:p w14:paraId="112FCF07">
      <w:pPr>
        <w:spacing w:before="0" w:after="0" w:line="360" w:lineRule="auto"/>
        <w:ind w:firstLine="480"/>
        <w:jc w:val="both"/>
      </w:pPr>
      <w:r>
        <w:rPr>
          <w:rFonts w:ascii="Times New Roman" w:hAnsi="Times New Roman" w:eastAsia="宋体"/>
          <w:b w:val="0"/>
          <w:i w:val="0"/>
          <w:sz w:val="24"/>
        </w:rPr>
        <w:t>其中R的平方表示第j个特征变量对其余所有特征变量进行回归时的决定系数。VIF值越大，说明该变量与其他变量之间的共线性越严重。通常认为VIF大于10表示存在严重的多重共线性，需要对相关变量进行处理。</w:t>
      </w:r>
    </w:p>
    <w:p w14:paraId="38CB62C3">
      <w:pPr>
        <w:spacing w:before="0" w:after="0" w:line="360" w:lineRule="auto"/>
        <w:ind w:firstLine="480"/>
        <w:jc w:val="both"/>
      </w:pPr>
      <w:r>
        <w:rPr>
          <w:rFonts w:ascii="Times New Roman" w:hAnsi="Times New Roman" w:eastAsia="宋体"/>
          <w:b w:val="0"/>
          <w:i w:val="0"/>
          <w:sz w:val="24"/>
        </w:rPr>
        <w:t>初始9个特征变量的VIF检验结果显示，成交量vol和换手率turnover_rate的VIF值高达数百万的量级，这与二者近乎完全共线性的事实相吻合。滚动市盈率pe_ttm和滚动市销率ps_ttm的VIF也达到数千的水平。为消除多重共线性的影响，本研究采用逐步剔除法，每次移除当前VIF值最大的变量，然后重新计算剩余变量的VIF，直至所有变量的VIF均低于10为止。</w:t>
      </w:r>
    </w:p>
    <w:p w14:paraId="7F8D5CCF">
      <w:pPr>
        <w:spacing w:before="0" w:after="0" w:line="360" w:lineRule="auto"/>
        <w:ind w:firstLine="480"/>
        <w:jc w:val="both"/>
      </w:pPr>
      <w:r>
        <w:rPr>
          <w:rFonts w:ascii="Times New Roman" w:hAnsi="Times New Roman" w:eastAsia="宋体"/>
          <w:b w:val="0"/>
          <w:i w:val="0"/>
          <w:sz w:val="24"/>
        </w:rPr>
        <w:t>经过逐步剔除，先后移除了成交量vol、滚动市盈率pe_ttm、市净率pb、成交额amount和量比volume_ratio共5个变量。最终保留的4个特征变量及其VIF值见表2。</w:t>
      </w:r>
    </w:p>
    <w:p w14:paraId="542E5D3E">
      <w:pPr>
        <w:spacing w:before="120" w:after="60" w:line="360" w:lineRule="auto"/>
        <w:jc w:val="center"/>
      </w:pPr>
      <w:r>
        <w:rPr>
          <w:rFonts w:ascii="Times New Roman" w:hAnsi="Times New Roman" w:eastAsia="宋体"/>
          <w:b w:val="0"/>
          <w:i w:val="0"/>
          <w:sz w:val="21"/>
        </w:rPr>
        <w:t>表2 剔除多重共线性后特征变量的VIF值</w:t>
      </w:r>
    </w:p>
    <w:tbl>
      <w:tblPr>
        <w:tblStyle w:val="3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5"/>
        <w:gridCol w:w="2835"/>
      </w:tblGrid>
      <w:tr w14:paraId="2E851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shd w:val="clear" w:color="auto" w:fill="D9E2F3"/>
          </w:tcPr>
          <w:p w14:paraId="0F4B235A">
            <w:pPr>
              <w:spacing w:before="0" w:after="0" w:line="240" w:lineRule="auto"/>
              <w:jc w:val="center"/>
            </w:pPr>
            <w:r>
              <w:rPr>
                <w:rFonts w:ascii="Times New Roman" w:hAnsi="Times New Roman" w:eastAsia="宋体"/>
                <w:b/>
                <w:i w:val="0"/>
                <w:sz w:val="21"/>
              </w:rPr>
              <w:t>特征变量</w:t>
            </w:r>
          </w:p>
        </w:tc>
        <w:tc>
          <w:tcPr>
            <w:tcW w:w="2835" w:type="dxa"/>
            <w:shd w:val="clear" w:color="auto" w:fill="D9E2F3"/>
          </w:tcPr>
          <w:p w14:paraId="60652CEC">
            <w:pPr>
              <w:spacing w:before="0" w:after="0" w:line="240" w:lineRule="auto"/>
              <w:jc w:val="center"/>
            </w:pPr>
            <w:r>
              <w:rPr>
                <w:rFonts w:ascii="Times New Roman" w:hAnsi="Times New Roman" w:eastAsia="宋体"/>
                <w:b/>
                <w:i w:val="0"/>
                <w:sz w:val="21"/>
              </w:rPr>
              <w:t>VIF值</w:t>
            </w:r>
          </w:p>
        </w:tc>
      </w:tr>
      <w:tr w14:paraId="5992C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Pr>
          <w:p w14:paraId="344DB2B4">
            <w:pPr>
              <w:spacing w:before="0" w:after="0" w:line="240" w:lineRule="auto"/>
              <w:jc w:val="center"/>
            </w:pPr>
            <w:r>
              <w:rPr>
                <w:rFonts w:ascii="Times New Roman" w:hAnsi="Times New Roman" w:eastAsia="宋体"/>
                <w:b w:val="0"/>
                <w:i w:val="0"/>
                <w:sz w:val="21"/>
              </w:rPr>
              <w:t>turnover_rate</w:t>
            </w:r>
          </w:p>
        </w:tc>
        <w:tc>
          <w:tcPr>
            <w:tcW w:w="2835" w:type="dxa"/>
          </w:tcPr>
          <w:p w14:paraId="67E3B1E0">
            <w:pPr>
              <w:spacing w:before="0" w:after="0" w:line="240" w:lineRule="auto"/>
              <w:jc w:val="center"/>
            </w:pPr>
            <w:r>
              <w:rPr>
                <w:rFonts w:ascii="Times New Roman" w:hAnsi="Times New Roman" w:eastAsia="宋体"/>
                <w:b w:val="0"/>
                <w:i w:val="0"/>
                <w:sz w:val="21"/>
              </w:rPr>
              <w:t>4.636</w:t>
            </w:r>
          </w:p>
        </w:tc>
      </w:tr>
      <w:tr w14:paraId="6F1E4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Pr>
          <w:p w14:paraId="07FF480C">
            <w:pPr>
              <w:spacing w:before="0" w:after="0" w:line="240" w:lineRule="auto"/>
              <w:jc w:val="center"/>
            </w:pPr>
            <w:r>
              <w:rPr>
                <w:rFonts w:ascii="Times New Roman" w:hAnsi="Times New Roman" w:eastAsia="宋体"/>
                <w:b w:val="0"/>
                <w:i w:val="0"/>
                <w:sz w:val="21"/>
              </w:rPr>
              <w:t>ps_ttm</w:t>
            </w:r>
          </w:p>
        </w:tc>
        <w:tc>
          <w:tcPr>
            <w:tcW w:w="2835" w:type="dxa"/>
          </w:tcPr>
          <w:p w14:paraId="6B4A1664">
            <w:pPr>
              <w:spacing w:before="0" w:after="0" w:line="240" w:lineRule="auto"/>
              <w:jc w:val="center"/>
            </w:pPr>
            <w:r>
              <w:rPr>
                <w:rFonts w:ascii="Times New Roman" w:hAnsi="Times New Roman" w:eastAsia="宋体"/>
                <w:b w:val="0"/>
                <w:i w:val="0"/>
                <w:sz w:val="21"/>
              </w:rPr>
              <w:t>4.105</w:t>
            </w:r>
          </w:p>
        </w:tc>
      </w:tr>
      <w:tr w14:paraId="54FAA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Pr>
          <w:p w14:paraId="6F3B46D1">
            <w:pPr>
              <w:spacing w:before="0" w:after="0" w:line="240" w:lineRule="auto"/>
              <w:jc w:val="center"/>
            </w:pPr>
            <w:r>
              <w:rPr>
                <w:rFonts w:ascii="Times New Roman" w:hAnsi="Times New Roman" w:eastAsia="宋体"/>
                <w:b w:val="0"/>
                <w:i w:val="0"/>
                <w:sz w:val="21"/>
              </w:rPr>
              <w:t>dv_ttm</w:t>
            </w:r>
          </w:p>
        </w:tc>
        <w:tc>
          <w:tcPr>
            <w:tcW w:w="2835" w:type="dxa"/>
          </w:tcPr>
          <w:p w14:paraId="5B453838">
            <w:pPr>
              <w:spacing w:before="0" w:after="0" w:line="240" w:lineRule="auto"/>
              <w:jc w:val="center"/>
            </w:pPr>
            <w:r>
              <w:rPr>
                <w:rFonts w:ascii="Times New Roman" w:hAnsi="Times New Roman" w:eastAsia="宋体"/>
                <w:b w:val="0"/>
                <w:i w:val="0"/>
                <w:sz w:val="21"/>
              </w:rPr>
              <w:t>2.477</w:t>
            </w:r>
          </w:p>
        </w:tc>
      </w:tr>
      <w:tr w14:paraId="3CC6E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Pr>
          <w:p w14:paraId="2458A959">
            <w:pPr>
              <w:spacing w:before="0" w:after="0" w:line="240" w:lineRule="auto"/>
              <w:jc w:val="center"/>
            </w:pPr>
            <w:r>
              <w:rPr>
                <w:rFonts w:ascii="Times New Roman" w:hAnsi="Times New Roman" w:eastAsia="宋体"/>
                <w:b w:val="0"/>
                <w:i w:val="0"/>
                <w:sz w:val="21"/>
              </w:rPr>
              <w:t>net_mf_vol</w:t>
            </w:r>
          </w:p>
        </w:tc>
        <w:tc>
          <w:tcPr>
            <w:tcW w:w="2835" w:type="dxa"/>
          </w:tcPr>
          <w:p w14:paraId="1ED6A546">
            <w:pPr>
              <w:spacing w:before="0" w:after="0" w:line="240" w:lineRule="auto"/>
              <w:jc w:val="center"/>
            </w:pPr>
            <w:r>
              <w:rPr>
                <w:rFonts w:ascii="Times New Roman" w:hAnsi="Times New Roman" w:eastAsia="宋体"/>
                <w:b w:val="0"/>
                <w:i w:val="0"/>
                <w:sz w:val="21"/>
              </w:rPr>
              <w:t>1.012</w:t>
            </w:r>
          </w:p>
        </w:tc>
      </w:tr>
    </w:tbl>
    <w:p w14:paraId="3BB981DF">
      <w:pPr>
        <w:spacing w:before="0" w:after="0" w:line="360" w:lineRule="auto"/>
        <w:ind w:firstLine="480"/>
        <w:jc w:val="both"/>
      </w:pPr>
      <w:r>
        <w:rPr>
          <w:rFonts w:ascii="Times New Roman" w:hAnsi="Times New Roman" w:eastAsia="宋体"/>
          <w:b w:val="0"/>
          <w:i w:val="0"/>
          <w:sz w:val="24"/>
        </w:rPr>
        <w:t>处理后所有VIF值均小于5，表明特征变量之间已不存在严重的多重共线性问题，可以放心地用于后续的线性回归建模。</w:t>
      </w:r>
    </w:p>
    <w:p w14:paraId="68ABF376">
      <w:r>
        <w:br w:type="page"/>
      </w:r>
    </w:p>
    <w:p w14:paraId="2DEA1B96">
      <w:pPr>
        <w:spacing w:before="240" w:after="120" w:line="360" w:lineRule="auto"/>
        <w:jc w:val="left"/>
      </w:pPr>
      <w:r>
        <w:rPr>
          <w:rFonts w:ascii="Times New Roman" w:hAnsi="Times New Roman" w:eastAsia="宋体"/>
          <w:b/>
          <w:i w:val="0"/>
          <w:sz w:val="28"/>
        </w:rPr>
        <w:t>五、多元线性回归建模</w:t>
      </w:r>
    </w:p>
    <w:p w14:paraId="64E51EBD">
      <w:pPr>
        <w:spacing w:before="120" w:after="60" w:line="360" w:lineRule="auto"/>
        <w:jc w:val="left"/>
      </w:pPr>
      <w:r>
        <w:rPr>
          <w:rFonts w:ascii="Times New Roman" w:hAnsi="Times New Roman" w:eastAsia="宋体"/>
          <w:b/>
          <w:i w:val="0"/>
          <w:sz w:val="24"/>
        </w:rPr>
        <w:t>5.1 模型设定</w:t>
      </w:r>
    </w:p>
    <w:p w14:paraId="0BAB53A9">
      <w:pPr>
        <w:spacing w:before="0" w:after="0" w:line="360" w:lineRule="auto"/>
        <w:ind w:firstLine="480"/>
        <w:jc w:val="both"/>
      </w:pPr>
      <w:r>
        <w:rPr>
          <w:rFonts w:ascii="Times New Roman" w:hAnsi="Times New Roman" w:eastAsia="宋体"/>
          <w:b w:val="0"/>
          <w:i w:val="0"/>
          <w:sz w:val="24"/>
        </w:rPr>
        <w:t>在完成变量筛选后，以日收益率pct_chg为因变量，以换手率turnover_rate、滚动市销率ps_ttm、滚动股息率dv_ttm和资金净流入量net_mf_vol为自变量，建立如下多元线性回归模型：</w:t>
      </w:r>
    </w:p>
    <w:p w14:paraId="384CC24B">
      <w:pPr>
        <w:spacing w:before="60" w:after="60" w:line="360" w:lineRule="auto"/>
        <w:jc w:val="center"/>
      </w:pPr>
      <m:oMathPara>
        <m:oMath>
          <m:r>
            <m:rPr/>
            <w:rPr>
              <w:rFonts w:ascii="Cambria Math" w:hAnsi="Cambria Math"/>
              <w:sz w:val="24"/>
            </w:rPr>
            <m:t>y</m:t>
          </m:r>
          <m:r>
            <m:rPr>
              <m:sty m:val="p"/>
            </m:rPr>
            <w:rPr>
              <w:rFonts w:ascii="Cambria Math" w:hAnsi="Cambria Math"/>
              <w:sz w:val="24"/>
            </w:rPr>
            <m:t>=</m:t>
          </m:r>
          <m:sSub>
            <m:sSubPr/>
            <m:e>
              <m:r>
                <m:rPr/>
                <w:rPr>
                  <w:rFonts w:ascii="Cambria Math" w:hAnsi="Cambria Math"/>
                  <w:sz w:val="24"/>
                </w:rPr>
                <m:t>β</m:t>
              </m:r>
            </m:e>
            <m:sub>
              <m:r>
                <m:rPr/>
                <w:rPr>
                  <w:rFonts w:ascii="Cambria Math" w:hAnsi="Cambria Math"/>
                  <w:sz w:val="24"/>
                </w:rPr>
                <m:t>0</m:t>
              </m:r>
            </m:sub>
          </m:sSub>
          <m:r>
            <m:rPr>
              <m:sty m:val="p"/>
            </m:rPr>
            <w:rPr>
              <w:rFonts w:ascii="Cambria Math" w:hAnsi="Cambria Math"/>
              <w:sz w:val="24"/>
            </w:rPr>
            <m:t>+</m:t>
          </m:r>
          <m:sSub>
            <m:sSubPr/>
            <m:e>
              <m:r>
                <m:rPr/>
                <w:rPr>
                  <w:rFonts w:ascii="Cambria Math" w:hAnsi="Cambria Math"/>
                  <w:sz w:val="24"/>
                </w:rPr>
                <m:t>β</m:t>
              </m:r>
            </m:e>
            <m:sub>
              <m:r>
                <m:rPr/>
                <w:rPr>
                  <w:rFonts w:ascii="Cambria Math" w:hAnsi="Cambria Math"/>
                  <w:sz w:val="24"/>
                </w:rPr>
                <m:t>1</m:t>
              </m:r>
            </m:sub>
          </m:sSub>
          <m:sSub>
            <m:sSubPr/>
            <m:e>
              <m:r>
                <m:rPr/>
                <w:rPr>
                  <w:rFonts w:ascii="Cambria Math" w:hAnsi="Cambria Math"/>
                  <w:sz w:val="24"/>
                </w:rPr>
                <m:t>x</m:t>
              </m:r>
            </m:e>
            <m:sub>
              <m:r>
                <m:rPr/>
                <w:rPr>
                  <w:rFonts w:ascii="Cambria Math" w:hAnsi="Cambria Math"/>
                  <w:sz w:val="24"/>
                </w:rPr>
                <m:t>1</m:t>
              </m:r>
            </m:sub>
          </m:sSub>
          <m:r>
            <m:rPr>
              <m:sty m:val="p"/>
            </m:rPr>
            <w:rPr>
              <w:rFonts w:ascii="Cambria Math" w:hAnsi="Cambria Math"/>
              <w:sz w:val="24"/>
            </w:rPr>
            <m:t>+</m:t>
          </m:r>
          <m:sSub>
            <m:sSubPr/>
            <m:e>
              <m:r>
                <m:rPr/>
                <w:rPr>
                  <w:rFonts w:ascii="Cambria Math" w:hAnsi="Cambria Math"/>
                  <w:sz w:val="24"/>
                </w:rPr>
                <m:t>β</m:t>
              </m:r>
            </m:e>
            <m:sub>
              <m:r>
                <m:rPr/>
                <w:rPr>
                  <w:rFonts w:ascii="Cambria Math" w:hAnsi="Cambria Math"/>
                  <w:sz w:val="24"/>
                </w:rPr>
                <m:t>2</m:t>
              </m:r>
            </m:sub>
          </m:sSub>
          <m:sSub>
            <m:sSubPr/>
            <m:e>
              <m:r>
                <m:rPr/>
                <w:rPr>
                  <w:rFonts w:ascii="Cambria Math" w:hAnsi="Cambria Math"/>
                  <w:sz w:val="24"/>
                </w:rPr>
                <m:t>x</m:t>
              </m:r>
            </m:e>
            <m:sub>
              <m:r>
                <m:rPr/>
                <w:rPr>
                  <w:rFonts w:ascii="Cambria Math" w:hAnsi="Cambria Math"/>
                  <w:sz w:val="24"/>
                </w:rPr>
                <m:t>2</m:t>
              </m:r>
            </m:sub>
          </m:sSub>
          <m:r>
            <m:rPr>
              <m:sty m:val="p"/>
            </m:rPr>
            <w:rPr>
              <w:rFonts w:ascii="Cambria Math" w:hAnsi="Cambria Math"/>
              <w:sz w:val="24"/>
            </w:rPr>
            <m:t>+</m:t>
          </m:r>
          <m:sSub>
            <m:sSubPr/>
            <m:e>
              <m:r>
                <m:rPr/>
                <w:rPr>
                  <w:rFonts w:ascii="Cambria Math" w:hAnsi="Cambria Math"/>
                  <w:sz w:val="24"/>
                </w:rPr>
                <m:t>β</m:t>
              </m:r>
            </m:e>
            <m:sub>
              <m:r>
                <m:rPr/>
                <w:rPr>
                  <w:rFonts w:ascii="Cambria Math" w:hAnsi="Cambria Math"/>
                  <w:sz w:val="24"/>
                </w:rPr>
                <m:t>3</m:t>
              </m:r>
            </m:sub>
          </m:sSub>
          <m:sSub>
            <m:sSubPr/>
            <m:e>
              <m:r>
                <m:rPr/>
                <w:rPr>
                  <w:rFonts w:ascii="Cambria Math" w:hAnsi="Cambria Math"/>
                  <w:sz w:val="24"/>
                </w:rPr>
                <m:t>x</m:t>
              </m:r>
            </m:e>
            <m:sub>
              <m:r>
                <m:rPr/>
                <w:rPr>
                  <w:rFonts w:ascii="Cambria Math" w:hAnsi="Cambria Math"/>
                  <w:sz w:val="24"/>
                </w:rPr>
                <m:t>3</m:t>
              </m:r>
            </m:sub>
          </m:sSub>
          <m:r>
            <m:rPr>
              <m:sty m:val="p"/>
            </m:rPr>
            <w:rPr>
              <w:rFonts w:ascii="Cambria Math" w:hAnsi="Cambria Math"/>
              <w:sz w:val="24"/>
            </w:rPr>
            <m:t>+</m:t>
          </m:r>
          <m:sSub>
            <m:sSubPr/>
            <m:e>
              <m:r>
                <m:rPr/>
                <w:rPr>
                  <w:rFonts w:ascii="Cambria Math" w:hAnsi="Cambria Math"/>
                  <w:sz w:val="24"/>
                </w:rPr>
                <m:t>β</m:t>
              </m:r>
            </m:e>
            <m:sub>
              <m:r>
                <m:rPr/>
                <w:rPr>
                  <w:rFonts w:ascii="Cambria Math" w:hAnsi="Cambria Math"/>
                  <w:sz w:val="24"/>
                </w:rPr>
                <m:t>4</m:t>
              </m:r>
            </m:sub>
          </m:sSub>
          <m:sSub>
            <m:sSubPr/>
            <m:e>
              <m:r>
                <m:rPr/>
                <w:rPr>
                  <w:rFonts w:ascii="Cambria Math" w:hAnsi="Cambria Math"/>
                  <w:sz w:val="24"/>
                </w:rPr>
                <m:t>x</m:t>
              </m:r>
            </m:e>
            <m:sub>
              <m:r>
                <m:rPr/>
                <w:rPr>
                  <w:rFonts w:ascii="Cambria Math" w:hAnsi="Cambria Math"/>
                  <w:sz w:val="24"/>
                </w:rPr>
                <m:t>4</m:t>
              </m:r>
            </m:sub>
          </m:sSub>
          <m:r>
            <m:rPr>
              <m:sty m:val="p"/>
            </m:rPr>
            <w:rPr>
              <w:rFonts w:ascii="Cambria Math" w:hAnsi="Cambria Math"/>
              <w:sz w:val="24"/>
            </w:rPr>
            <m:t>+</m:t>
          </m:r>
          <m:r>
            <m:rPr/>
            <w:rPr>
              <w:rFonts w:ascii="Cambria Math" w:hAnsi="Cambria Math"/>
              <w:sz w:val="24"/>
            </w:rPr>
            <m:t>ε</m:t>
          </m:r>
        </m:oMath>
      </m:oMathPara>
    </w:p>
    <w:p w14:paraId="6DD94235">
      <w:pPr>
        <w:spacing w:before="0" w:after="0" w:line="360" w:lineRule="auto"/>
        <w:ind w:firstLine="480"/>
        <w:jc w:val="both"/>
      </w:pPr>
      <w:r>
        <w:rPr>
          <w:rFonts w:ascii="Times New Roman" w:hAnsi="Times New Roman" w:eastAsia="宋体"/>
          <w:b w:val="0"/>
          <w:i w:val="0"/>
          <w:sz w:val="24"/>
        </w:rPr>
        <w:t>在模型估计之前，对所有自变量进行了标准化处理，使其均值为0、标准差为1，从而消除量纲差异对回归系数的影响，便于直接比较各变量对收益率的相对贡献大小。数据按照80%和20%的比例随机划分为训练集和测试集，训练集包含1164个样本，测试集包含291个样本。</w:t>
      </w:r>
    </w:p>
    <w:p w14:paraId="1FE94292">
      <w:pPr>
        <w:spacing w:before="120" w:after="60" w:line="360" w:lineRule="auto"/>
        <w:jc w:val="left"/>
      </w:pPr>
      <w:r>
        <w:rPr>
          <w:rFonts w:ascii="Times New Roman" w:hAnsi="Times New Roman" w:eastAsia="宋体"/>
          <w:b/>
          <w:i w:val="0"/>
          <w:sz w:val="24"/>
        </w:rPr>
        <w:t>5.2 回归结果</w:t>
      </w:r>
    </w:p>
    <w:p w14:paraId="02A673DE">
      <w:pPr>
        <w:spacing w:before="0" w:after="0" w:line="360" w:lineRule="auto"/>
        <w:ind w:firstLine="480"/>
        <w:jc w:val="both"/>
      </w:pPr>
      <w:r>
        <w:rPr>
          <w:rFonts w:ascii="Times New Roman" w:hAnsi="Times New Roman" w:eastAsia="宋体"/>
          <w:b w:val="0"/>
          <w:i w:val="0"/>
          <w:sz w:val="24"/>
        </w:rPr>
        <w:t>使用普通最小二乘法对训练集数据进行拟合，得到的模型在训练集上的决定系数R方为0.6098，均方根误差RMSE为1.1180；在测试集上的R方为0.5679，RMSE为1.0423，平均绝对误差MAE为0.7095。训练集与测试集的表现较为接近，未出现明显的过拟合现象。模型的截距项为0.0417，接近于零，这与日收益率均值接近零的实际情况相符。</w:t>
      </w:r>
    </w:p>
    <w:p w14:paraId="5E71D0AA">
      <w:pPr>
        <w:spacing w:before="0" w:after="0" w:line="360" w:lineRule="auto"/>
        <w:ind w:firstLine="480"/>
        <w:jc w:val="both"/>
      </w:pPr>
      <w:r>
        <w:rPr>
          <w:rFonts w:ascii="Times New Roman" w:hAnsi="Times New Roman" w:eastAsia="宋体"/>
          <w:b w:val="0"/>
          <w:i w:val="0"/>
          <w:sz w:val="24"/>
        </w:rPr>
        <w:t>各特征变量的标准化回归系数见表3。</w:t>
      </w:r>
    </w:p>
    <w:p w14:paraId="14E24A45">
      <w:pPr>
        <w:spacing w:before="120" w:after="60" w:line="360" w:lineRule="auto"/>
        <w:jc w:val="center"/>
      </w:pPr>
      <w:r>
        <w:rPr>
          <w:rFonts w:ascii="Times New Roman" w:hAnsi="Times New Roman" w:eastAsia="宋体"/>
          <w:b w:val="0"/>
          <w:i w:val="0"/>
          <w:sz w:val="21"/>
        </w:rPr>
        <w:t>表3 标准化回归系数</w:t>
      </w:r>
    </w:p>
    <w:tbl>
      <w:tblPr>
        <w:tblStyle w:val="3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5"/>
        <w:gridCol w:w="2835"/>
      </w:tblGrid>
      <w:tr w14:paraId="3D175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shd w:val="clear" w:color="auto" w:fill="D9E2F3"/>
          </w:tcPr>
          <w:p w14:paraId="4EE8AD28">
            <w:pPr>
              <w:spacing w:before="0" w:after="0" w:line="240" w:lineRule="auto"/>
              <w:jc w:val="center"/>
            </w:pPr>
            <w:r>
              <w:rPr>
                <w:rFonts w:ascii="Times New Roman" w:hAnsi="Times New Roman" w:eastAsia="宋体"/>
                <w:b/>
                <w:i w:val="0"/>
                <w:sz w:val="21"/>
              </w:rPr>
              <w:t>特征变量</w:t>
            </w:r>
          </w:p>
        </w:tc>
        <w:tc>
          <w:tcPr>
            <w:tcW w:w="2835" w:type="dxa"/>
            <w:shd w:val="clear" w:color="auto" w:fill="D9E2F3"/>
          </w:tcPr>
          <w:p w14:paraId="24FF0F5C">
            <w:pPr>
              <w:spacing w:before="0" w:after="0" w:line="240" w:lineRule="auto"/>
              <w:jc w:val="center"/>
            </w:pPr>
            <w:r>
              <w:rPr>
                <w:rFonts w:ascii="Times New Roman" w:hAnsi="Times New Roman" w:eastAsia="宋体"/>
                <w:b/>
                <w:i w:val="0"/>
                <w:sz w:val="21"/>
              </w:rPr>
              <w:t>标准化回归系数</w:t>
            </w:r>
          </w:p>
        </w:tc>
      </w:tr>
      <w:tr w14:paraId="3C0FF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Pr>
          <w:p w14:paraId="51AF0DAE">
            <w:pPr>
              <w:spacing w:before="0" w:after="0" w:line="240" w:lineRule="auto"/>
              <w:jc w:val="center"/>
            </w:pPr>
            <w:r>
              <w:rPr>
                <w:rFonts w:ascii="Times New Roman" w:hAnsi="Times New Roman" w:eastAsia="宋体"/>
                <w:b w:val="0"/>
                <w:i w:val="0"/>
                <w:sz w:val="21"/>
              </w:rPr>
              <w:t>net_mf_vol</w:t>
            </w:r>
          </w:p>
        </w:tc>
        <w:tc>
          <w:tcPr>
            <w:tcW w:w="2835" w:type="dxa"/>
          </w:tcPr>
          <w:p w14:paraId="007B12C4">
            <w:pPr>
              <w:spacing w:before="0" w:after="0" w:line="240" w:lineRule="auto"/>
              <w:jc w:val="center"/>
            </w:pPr>
            <w:r>
              <w:rPr>
                <w:rFonts w:ascii="Times New Roman" w:hAnsi="Times New Roman" w:eastAsia="宋体"/>
                <w:b w:val="0"/>
                <w:i w:val="0"/>
                <w:sz w:val="21"/>
              </w:rPr>
              <w:t>1.3750</w:t>
            </w:r>
          </w:p>
        </w:tc>
      </w:tr>
      <w:tr w14:paraId="73A45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Pr>
          <w:p w14:paraId="355CEB9F">
            <w:pPr>
              <w:spacing w:before="0" w:after="0" w:line="240" w:lineRule="auto"/>
              <w:jc w:val="center"/>
            </w:pPr>
            <w:r>
              <w:rPr>
                <w:rFonts w:ascii="Times New Roman" w:hAnsi="Times New Roman" w:eastAsia="宋体"/>
                <w:b w:val="0"/>
                <w:i w:val="0"/>
                <w:sz w:val="21"/>
              </w:rPr>
              <w:t>ps_ttm</w:t>
            </w:r>
          </w:p>
        </w:tc>
        <w:tc>
          <w:tcPr>
            <w:tcW w:w="2835" w:type="dxa"/>
          </w:tcPr>
          <w:p w14:paraId="7F691E81">
            <w:pPr>
              <w:spacing w:before="0" w:after="0" w:line="240" w:lineRule="auto"/>
              <w:jc w:val="center"/>
            </w:pPr>
            <w:r>
              <w:rPr>
                <w:rFonts w:ascii="Times New Roman" w:hAnsi="Times New Roman" w:eastAsia="宋体"/>
                <w:b w:val="0"/>
                <w:i w:val="0"/>
                <w:sz w:val="21"/>
              </w:rPr>
              <w:t>0.1013</w:t>
            </w:r>
          </w:p>
        </w:tc>
      </w:tr>
      <w:tr w14:paraId="02C20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Pr>
          <w:p w14:paraId="1AD275C1">
            <w:pPr>
              <w:spacing w:before="0" w:after="0" w:line="240" w:lineRule="auto"/>
              <w:jc w:val="center"/>
            </w:pPr>
            <w:r>
              <w:rPr>
                <w:rFonts w:ascii="Times New Roman" w:hAnsi="Times New Roman" w:eastAsia="宋体"/>
                <w:b w:val="0"/>
                <w:i w:val="0"/>
                <w:sz w:val="21"/>
              </w:rPr>
              <w:t>dv_ttm</w:t>
            </w:r>
          </w:p>
        </w:tc>
        <w:tc>
          <w:tcPr>
            <w:tcW w:w="2835" w:type="dxa"/>
          </w:tcPr>
          <w:p w14:paraId="45FBD85E">
            <w:pPr>
              <w:spacing w:before="0" w:after="0" w:line="240" w:lineRule="auto"/>
              <w:jc w:val="center"/>
            </w:pPr>
            <w:r>
              <w:rPr>
                <w:rFonts w:ascii="Times New Roman" w:hAnsi="Times New Roman" w:eastAsia="宋体"/>
                <w:b w:val="0"/>
                <w:i w:val="0"/>
                <w:sz w:val="21"/>
              </w:rPr>
              <w:t>0.0370</w:t>
            </w:r>
          </w:p>
        </w:tc>
      </w:tr>
      <w:tr w14:paraId="0D75E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Pr>
          <w:p w14:paraId="7113D469">
            <w:pPr>
              <w:spacing w:before="0" w:after="0" w:line="240" w:lineRule="auto"/>
              <w:jc w:val="center"/>
            </w:pPr>
            <w:r>
              <w:rPr>
                <w:rFonts w:ascii="Times New Roman" w:hAnsi="Times New Roman" w:eastAsia="宋体"/>
                <w:b w:val="0"/>
                <w:i w:val="0"/>
                <w:sz w:val="21"/>
              </w:rPr>
              <w:t>turnover_rate</w:t>
            </w:r>
          </w:p>
        </w:tc>
        <w:tc>
          <w:tcPr>
            <w:tcW w:w="2835" w:type="dxa"/>
          </w:tcPr>
          <w:p w14:paraId="0076DA9E">
            <w:pPr>
              <w:spacing w:before="0" w:after="0" w:line="240" w:lineRule="auto"/>
              <w:jc w:val="center"/>
            </w:pPr>
            <w:r>
              <w:rPr>
                <w:rFonts w:ascii="Times New Roman" w:hAnsi="Times New Roman" w:eastAsia="宋体"/>
                <w:b w:val="0"/>
                <w:i w:val="0"/>
                <w:sz w:val="21"/>
              </w:rPr>
              <w:t>-0.0098</w:t>
            </w:r>
          </w:p>
        </w:tc>
      </w:tr>
    </w:tbl>
    <w:p w14:paraId="0BFF7065">
      <w:pPr>
        <w:spacing w:before="0" w:after="0" w:line="360" w:lineRule="auto"/>
        <w:ind w:firstLine="480"/>
        <w:jc w:val="both"/>
      </w:pPr>
      <w:r>
        <w:rPr>
          <w:rFonts w:ascii="Times New Roman" w:hAnsi="Times New Roman" w:eastAsia="宋体"/>
          <w:b w:val="0"/>
          <w:i w:val="0"/>
          <w:sz w:val="24"/>
        </w:rPr>
        <w:t>从标准化回归系数的绝对值来看，资金净流入量net_mf_vol的系数远大于其他变量，达到1.375，是影响日收益率最为关键的因素。这意味着在控制其他变量不变的情况下，资金净流入量每增加一个标准差，日收益率将平均提高约1.375个百分点。滚动市销率ps_ttm的系数为0.101，位居第二。滚动股息率dv_ttm的系数为0.037，影响相对较小。换手率turnover_rate的系数为-0.010，接近于零且方向为负，说明在控制资金流向等因素后，换手率对收益率几乎没有独立的解释能力。</w:t>
      </w:r>
    </w:p>
    <w:p w14:paraId="00164825">
      <w:pPr>
        <w:spacing w:before="0" w:after="0" w:line="360" w:lineRule="auto"/>
        <w:ind w:firstLine="480"/>
        <w:jc w:val="both"/>
      </w:pPr>
      <w:r>
        <w:rPr>
          <w:rFonts w:ascii="Times New Roman" w:hAnsi="Times New Roman" w:eastAsia="宋体"/>
          <w:b w:val="0"/>
          <w:i w:val="0"/>
          <w:sz w:val="24"/>
        </w:rPr>
        <w:t>如图5所示的回归系数柱状图更加直观地展示了各变量的相对重要性。</w:t>
      </w:r>
    </w:p>
    <w:p w14:paraId="716F3AF1">
      <w:pPr>
        <w:spacing w:before="120" w:after="0" w:line="240" w:lineRule="auto"/>
        <w:jc w:val="center"/>
      </w:pPr>
      <w:r>
        <w:drawing>
          <wp:inline distT="0" distB="0" distL="114300" distR="114300">
            <wp:extent cx="5399405" cy="2667635"/>
            <wp:effectExtent l="0" t="0" r="10795" b="184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1"/>
                    <a:stretch>
                      <a:fillRect/>
                    </a:stretch>
                  </pic:blipFill>
                  <pic:spPr>
                    <a:xfrm>
                      <a:off x="0" y="0"/>
                      <a:ext cx="5400000" cy="2668171"/>
                    </a:xfrm>
                    <a:prstGeom prst="rect">
                      <a:avLst/>
                    </a:prstGeom>
                  </pic:spPr>
                </pic:pic>
              </a:graphicData>
            </a:graphic>
          </wp:inline>
        </w:drawing>
      </w:r>
    </w:p>
    <w:p w14:paraId="29C28828">
      <w:pPr>
        <w:spacing w:before="0" w:after="120" w:line="360" w:lineRule="auto"/>
        <w:jc w:val="center"/>
      </w:pPr>
      <w:r>
        <w:rPr>
          <w:rFonts w:ascii="Times New Roman" w:hAnsi="Times New Roman" w:eastAsia="宋体"/>
          <w:b w:val="0"/>
          <w:i w:val="0"/>
          <w:sz w:val="21"/>
        </w:rPr>
        <w:t>图5 各特征变量标准化回归系数柱状图</w:t>
      </w:r>
    </w:p>
    <w:p w14:paraId="7F9BD16C">
      <w:pPr>
        <w:spacing w:before="120" w:after="60" w:line="360" w:lineRule="auto"/>
        <w:jc w:val="left"/>
      </w:pPr>
      <w:r>
        <w:rPr>
          <w:rFonts w:ascii="Times New Roman" w:hAnsi="Times New Roman" w:eastAsia="宋体"/>
          <w:b/>
          <w:i w:val="0"/>
          <w:sz w:val="24"/>
        </w:rPr>
        <w:t>5.3 预测效果可视化</w:t>
      </w:r>
    </w:p>
    <w:p w14:paraId="0372D548">
      <w:pPr>
        <w:spacing w:before="0" w:after="0" w:line="360" w:lineRule="auto"/>
        <w:ind w:firstLine="480"/>
        <w:jc w:val="both"/>
      </w:pPr>
      <w:r>
        <w:rPr>
          <w:rFonts w:ascii="Times New Roman" w:hAnsi="Times New Roman" w:eastAsia="宋体"/>
          <w:b w:val="0"/>
          <w:i w:val="0"/>
          <w:sz w:val="24"/>
        </w:rPr>
        <w:t>如图6所示，左图为测试集上预测值与实际值的散点图，红色虚线表示完美预测线。散点大致沿对角线分布，但在收益率绝对值较大的区域出现了较为明显的偏离，这说明模型对于极端涨跌幅的预测能力有限。右图为残差的频率分布直方图，残差近似呈以零为中心的对称分布，表明模型的系统性偏差较小，拟合效果总体可以接受。</w:t>
      </w:r>
    </w:p>
    <w:p w14:paraId="65B2E743">
      <w:pPr>
        <w:spacing w:before="120" w:after="0" w:line="240" w:lineRule="auto"/>
        <w:jc w:val="center"/>
      </w:pPr>
      <w:r>
        <w:drawing>
          <wp:inline distT="0" distB="0" distL="114300" distR="114300">
            <wp:extent cx="5399405" cy="1901825"/>
            <wp:effectExtent l="0" t="0" r="10795"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2"/>
                    <a:stretch>
                      <a:fillRect/>
                    </a:stretch>
                  </pic:blipFill>
                  <pic:spPr>
                    <a:xfrm>
                      <a:off x="0" y="0"/>
                      <a:ext cx="5400000" cy="1901919"/>
                    </a:xfrm>
                    <a:prstGeom prst="rect">
                      <a:avLst/>
                    </a:prstGeom>
                  </pic:spPr>
                </pic:pic>
              </a:graphicData>
            </a:graphic>
          </wp:inline>
        </w:drawing>
      </w:r>
    </w:p>
    <w:p w14:paraId="5536DBEE">
      <w:pPr>
        <w:spacing w:before="0" w:after="120" w:line="360" w:lineRule="auto"/>
        <w:jc w:val="center"/>
      </w:pPr>
      <w:r>
        <w:rPr>
          <w:rFonts w:ascii="Times New Roman" w:hAnsi="Times New Roman" w:eastAsia="宋体"/>
          <w:b w:val="0"/>
          <w:i w:val="0"/>
          <w:sz w:val="21"/>
        </w:rPr>
        <w:t>图6 测试集预测值与实际值散点图及残差分布</w:t>
      </w:r>
    </w:p>
    <w:p w14:paraId="30DC25E2">
      <w:r>
        <w:br w:type="page"/>
      </w:r>
    </w:p>
    <w:p w14:paraId="0A93EE6A">
      <w:pPr>
        <w:spacing w:before="240" w:after="120" w:line="360" w:lineRule="auto"/>
        <w:jc w:val="left"/>
      </w:pPr>
      <w:r>
        <w:rPr>
          <w:rFonts w:ascii="Times New Roman" w:hAnsi="Times New Roman" w:eastAsia="宋体"/>
          <w:b/>
          <w:i w:val="0"/>
          <w:sz w:val="28"/>
        </w:rPr>
        <w:t>六、K折交叉验证与模型优化</w:t>
      </w:r>
    </w:p>
    <w:p w14:paraId="4563512D">
      <w:pPr>
        <w:spacing w:before="120" w:after="60" w:line="360" w:lineRule="auto"/>
        <w:jc w:val="left"/>
      </w:pPr>
      <w:r>
        <w:rPr>
          <w:rFonts w:ascii="Times New Roman" w:hAnsi="Times New Roman" w:eastAsia="宋体"/>
          <w:b/>
          <w:i w:val="0"/>
          <w:sz w:val="24"/>
        </w:rPr>
        <w:t>6.1 K折交叉验证</w:t>
      </w:r>
    </w:p>
    <w:p w14:paraId="0DD03ECF">
      <w:pPr>
        <w:spacing w:before="0" w:after="0" w:line="360" w:lineRule="auto"/>
        <w:ind w:firstLine="480"/>
        <w:jc w:val="both"/>
      </w:pPr>
      <w:r>
        <w:rPr>
          <w:rFonts w:ascii="Times New Roman" w:hAnsi="Times New Roman" w:eastAsia="宋体"/>
          <w:b w:val="0"/>
          <w:i w:val="0"/>
          <w:sz w:val="24"/>
        </w:rPr>
        <w:t>为了更全面地评估模型的泛化性能，采用K折交叉验证方法。该方法将全部数据随机划分为K个大小相近的子集，依次取其中1个子集作为验证集，其余K-1个子集合并作为训练集，训练模型并计算验证集上的R方得分，最终取K次结果的平均值作为模型性能的评估指标。</w:t>
      </w:r>
    </w:p>
    <w:p w14:paraId="1D2FB243">
      <w:pPr>
        <w:spacing w:before="0" w:after="0" w:line="360" w:lineRule="auto"/>
        <w:ind w:firstLine="480"/>
        <w:jc w:val="both"/>
      </w:pPr>
      <w:r>
        <w:rPr>
          <w:rFonts w:ascii="Times New Roman" w:hAnsi="Times New Roman" w:eastAsia="宋体"/>
          <w:b w:val="0"/>
          <w:i w:val="0"/>
          <w:sz w:val="24"/>
        </w:rPr>
        <w:t>分别进行了5折和10折交叉验证。5折交叉验证的R方均值为0.5867，标准差为0.0316；10折交叉验证的R方均值为0.5868，标准差为0.0378。两种设置下的结果非常接近，且与前文测试集上0.5679的R方一致，进一步说明模型具有较好的稳定性，不存在严重的过拟合或欠拟合问题。</w:t>
      </w:r>
    </w:p>
    <w:p w14:paraId="1C72A52F">
      <w:pPr>
        <w:spacing w:before="0" w:after="0" w:line="360" w:lineRule="auto"/>
        <w:ind w:firstLine="480"/>
        <w:jc w:val="both"/>
      </w:pPr>
      <w:r>
        <w:rPr>
          <w:rFonts w:ascii="Times New Roman" w:hAnsi="Times New Roman" w:eastAsia="宋体"/>
          <w:b w:val="0"/>
          <w:i w:val="0"/>
          <w:sz w:val="24"/>
        </w:rPr>
        <w:t>为了探索不同K值对交叉验证结果的影响，将K从2依次增加到20进行了系统测试。如图7所示，当K值较小时R方得分偏低且波动较大，随着K值增加，得分逐渐趋于稳定，最终收敛在0.59附近。综合考虑计算效率和评估精度，K取10是一个较为合理的选择。</w:t>
      </w:r>
    </w:p>
    <w:p w14:paraId="59490B23">
      <w:pPr>
        <w:spacing w:before="120" w:after="0" w:line="240" w:lineRule="auto"/>
        <w:jc w:val="center"/>
      </w:pPr>
      <w:r>
        <w:drawing>
          <wp:inline distT="0" distB="0" distL="114300" distR="114300">
            <wp:extent cx="5399405" cy="2667635"/>
            <wp:effectExtent l="0" t="0" r="10795" b="184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3"/>
                    <a:stretch>
                      <a:fillRect/>
                    </a:stretch>
                  </pic:blipFill>
                  <pic:spPr>
                    <a:xfrm>
                      <a:off x="0" y="0"/>
                      <a:ext cx="5400000" cy="2668193"/>
                    </a:xfrm>
                    <a:prstGeom prst="rect">
                      <a:avLst/>
                    </a:prstGeom>
                  </pic:spPr>
                </pic:pic>
              </a:graphicData>
            </a:graphic>
          </wp:inline>
        </w:drawing>
      </w:r>
    </w:p>
    <w:p w14:paraId="20D90286">
      <w:pPr>
        <w:spacing w:before="0" w:after="120" w:line="360" w:lineRule="auto"/>
        <w:jc w:val="center"/>
      </w:pPr>
      <w:r>
        <w:rPr>
          <w:rFonts w:ascii="Times New Roman" w:hAnsi="Times New Roman" w:eastAsia="宋体"/>
          <w:b w:val="0"/>
          <w:i w:val="0"/>
          <w:sz w:val="21"/>
        </w:rPr>
        <w:t>图7 不同K值下交叉验证R方得分变化</w:t>
      </w:r>
    </w:p>
    <w:p w14:paraId="211D23E3">
      <w:pPr>
        <w:spacing w:before="120" w:after="60" w:line="360" w:lineRule="auto"/>
        <w:jc w:val="left"/>
      </w:pPr>
      <w:r>
        <w:rPr>
          <w:rFonts w:ascii="Times New Roman" w:hAnsi="Times New Roman" w:eastAsia="宋体"/>
          <w:b/>
          <w:i w:val="0"/>
          <w:sz w:val="24"/>
        </w:rPr>
        <w:t>6.2 Ridge回归与Lasso回归</w:t>
      </w:r>
    </w:p>
    <w:p w14:paraId="67D6CE86">
      <w:pPr>
        <w:spacing w:before="0" w:after="0" w:line="360" w:lineRule="auto"/>
        <w:ind w:firstLine="480"/>
        <w:jc w:val="both"/>
      </w:pPr>
      <w:r>
        <w:rPr>
          <w:rFonts w:ascii="Times New Roman" w:hAnsi="Times New Roman" w:eastAsia="宋体"/>
          <w:b w:val="0"/>
          <w:i w:val="0"/>
          <w:sz w:val="24"/>
        </w:rPr>
        <w:t>Ridge回归和Lasso回归是两种常用的正则化线性回归方法，通过在损失函数中引入惩罚项来约束回归系数的大小，从而缓解过拟合风险。Ridge回归在损失函数中添加L2范数惩罚项，Lasso回归添加L1范数惩罚项。正则化强度由超参数alpha控制，alpha越大，对系数的约束越强。</w:t>
      </w:r>
    </w:p>
    <w:p w14:paraId="6A821D2C">
      <w:pPr>
        <w:spacing w:before="0" w:after="0" w:line="360" w:lineRule="auto"/>
        <w:ind w:firstLine="480"/>
        <w:jc w:val="both"/>
      </w:pPr>
      <w:r>
        <w:rPr>
          <w:rFonts w:ascii="Times New Roman" w:hAnsi="Times New Roman" w:eastAsia="宋体"/>
          <w:b w:val="0"/>
          <w:i w:val="0"/>
          <w:sz w:val="24"/>
        </w:rPr>
        <w:t>本研究在alpha取0.001、0.01、0.1、1.0、10.0和100.0六个候选值的条件下，分别对Ridge回归和Lasso回归进行了10折交叉验证。结果见表4。Ridge回归在alpha等于100时取得最高的平均R方为0.527。Lasso回归在alpha等于0.1时表现最优，平均R方为0.538。当alpha过大时，Lasso回归的R方急剧下降甚至变为负值，这是因为过强的L1惩罚将所有系数压缩到了零。</w:t>
      </w:r>
    </w:p>
    <w:p w14:paraId="268E7F28">
      <w:pPr>
        <w:spacing w:before="120" w:after="60" w:line="360" w:lineRule="auto"/>
        <w:jc w:val="center"/>
      </w:pPr>
      <w:r>
        <w:rPr>
          <w:rFonts w:ascii="Times New Roman" w:hAnsi="Times New Roman" w:eastAsia="宋体"/>
          <w:b w:val="0"/>
          <w:i w:val="0"/>
          <w:sz w:val="21"/>
        </w:rPr>
        <w:t>表4 Ridge与Lasso回归在不同alpha下的交叉验证R方</w:t>
      </w:r>
    </w:p>
    <w:tbl>
      <w:tblPr>
        <w:tblStyle w:val="3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0"/>
        <w:gridCol w:w="1587"/>
        <w:gridCol w:w="1587"/>
        <w:gridCol w:w="1587"/>
        <w:gridCol w:w="1587"/>
      </w:tblGrid>
      <w:tr w14:paraId="4E8CA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shd w:val="clear" w:color="auto" w:fill="D9E2F3"/>
          </w:tcPr>
          <w:p w14:paraId="52C03F45">
            <w:pPr>
              <w:spacing w:before="0" w:after="0" w:line="240" w:lineRule="auto"/>
              <w:jc w:val="center"/>
            </w:pPr>
            <w:r>
              <w:rPr>
                <w:rFonts w:ascii="Times New Roman" w:hAnsi="Times New Roman" w:eastAsia="宋体"/>
                <w:b/>
                <w:i w:val="0"/>
                <w:sz w:val="21"/>
              </w:rPr>
              <w:t>alpha</w:t>
            </w:r>
          </w:p>
        </w:tc>
        <w:tc>
          <w:tcPr>
            <w:tcW w:w="1587" w:type="dxa"/>
            <w:shd w:val="clear" w:color="auto" w:fill="D9E2F3"/>
          </w:tcPr>
          <w:p w14:paraId="47AD3A3A">
            <w:pPr>
              <w:spacing w:before="0" w:after="0" w:line="240" w:lineRule="auto"/>
              <w:jc w:val="center"/>
            </w:pPr>
            <w:r>
              <w:rPr>
                <w:rFonts w:ascii="Times New Roman" w:hAnsi="Times New Roman" w:eastAsia="宋体"/>
                <w:b/>
                <w:i w:val="0"/>
                <w:sz w:val="21"/>
              </w:rPr>
              <w:t>Ridge R方均值</w:t>
            </w:r>
          </w:p>
        </w:tc>
        <w:tc>
          <w:tcPr>
            <w:tcW w:w="1587" w:type="dxa"/>
            <w:shd w:val="clear" w:color="auto" w:fill="D9E2F3"/>
          </w:tcPr>
          <w:p w14:paraId="7D1F7884">
            <w:pPr>
              <w:spacing w:before="0" w:after="0" w:line="240" w:lineRule="auto"/>
              <w:jc w:val="center"/>
            </w:pPr>
            <w:r>
              <w:rPr>
                <w:rFonts w:ascii="Times New Roman" w:hAnsi="Times New Roman" w:eastAsia="宋体"/>
                <w:b/>
                <w:i w:val="0"/>
                <w:sz w:val="21"/>
              </w:rPr>
              <w:t>Ridge R方标准差</w:t>
            </w:r>
          </w:p>
        </w:tc>
        <w:tc>
          <w:tcPr>
            <w:tcW w:w="1587" w:type="dxa"/>
            <w:shd w:val="clear" w:color="auto" w:fill="D9E2F3"/>
          </w:tcPr>
          <w:p w14:paraId="558478FF">
            <w:pPr>
              <w:spacing w:before="0" w:after="0" w:line="240" w:lineRule="auto"/>
              <w:jc w:val="center"/>
            </w:pPr>
            <w:r>
              <w:rPr>
                <w:rFonts w:ascii="Times New Roman" w:hAnsi="Times New Roman" w:eastAsia="宋体"/>
                <w:b/>
                <w:i w:val="0"/>
                <w:sz w:val="21"/>
              </w:rPr>
              <w:t>Lasso R方均值</w:t>
            </w:r>
          </w:p>
        </w:tc>
        <w:tc>
          <w:tcPr>
            <w:tcW w:w="1587" w:type="dxa"/>
            <w:shd w:val="clear" w:color="auto" w:fill="D9E2F3"/>
          </w:tcPr>
          <w:p w14:paraId="70138F4F">
            <w:pPr>
              <w:spacing w:before="0" w:after="0" w:line="240" w:lineRule="auto"/>
              <w:jc w:val="center"/>
            </w:pPr>
            <w:r>
              <w:rPr>
                <w:rFonts w:ascii="Times New Roman" w:hAnsi="Times New Roman" w:eastAsia="宋体"/>
                <w:b/>
                <w:i w:val="0"/>
                <w:sz w:val="21"/>
              </w:rPr>
              <w:t>Lasso R方标准差</w:t>
            </w:r>
          </w:p>
        </w:tc>
      </w:tr>
      <w:tr w14:paraId="3A9D98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tcPr>
          <w:p w14:paraId="64B8C4B8">
            <w:pPr>
              <w:spacing w:before="0" w:after="0" w:line="240" w:lineRule="auto"/>
              <w:jc w:val="center"/>
            </w:pPr>
            <w:r>
              <w:rPr>
                <w:rFonts w:ascii="Times New Roman" w:hAnsi="Times New Roman" w:eastAsia="宋体"/>
                <w:b w:val="0"/>
                <w:i w:val="0"/>
                <w:sz w:val="21"/>
              </w:rPr>
              <w:t>0.001</w:t>
            </w:r>
          </w:p>
        </w:tc>
        <w:tc>
          <w:tcPr>
            <w:tcW w:w="1587" w:type="dxa"/>
          </w:tcPr>
          <w:p w14:paraId="54A6F83C">
            <w:pPr>
              <w:spacing w:before="0" w:after="0" w:line="240" w:lineRule="auto"/>
              <w:jc w:val="center"/>
            </w:pPr>
            <w:r>
              <w:rPr>
                <w:rFonts w:ascii="Times New Roman" w:hAnsi="Times New Roman" w:eastAsia="宋体"/>
                <w:b w:val="0"/>
                <w:i w:val="0"/>
                <w:sz w:val="21"/>
              </w:rPr>
              <w:t>0.4965</w:t>
            </w:r>
          </w:p>
        </w:tc>
        <w:tc>
          <w:tcPr>
            <w:tcW w:w="1587" w:type="dxa"/>
          </w:tcPr>
          <w:p w14:paraId="27535DE8">
            <w:pPr>
              <w:spacing w:before="0" w:after="0" w:line="240" w:lineRule="auto"/>
              <w:jc w:val="center"/>
            </w:pPr>
            <w:r>
              <w:rPr>
                <w:rFonts w:ascii="Times New Roman" w:hAnsi="Times New Roman" w:eastAsia="宋体"/>
                <w:b w:val="0"/>
                <w:i w:val="0"/>
                <w:sz w:val="21"/>
              </w:rPr>
              <w:t>0.4222</w:t>
            </w:r>
          </w:p>
        </w:tc>
        <w:tc>
          <w:tcPr>
            <w:tcW w:w="1587" w:type="dxa"/>
          </w:tcPr>
          <w:p w14:paraId="4CFF6BE8">
            <w:pPr>
              <w:spacing w:before="0" w:after="0" w:line="240" w:lineRule="auto"/>
              <w:jc w:val="center"/>
            </w:pPr>
            <w:r>
              <w:rPr>
                <w:rFonts w:ascii="Times New Roman" w:hAnsi="Times New Roman" w:eastAsia="宋体"/>
                <w:b w:val="0"/>
                <w:i w:val="0"/>
                <w:sz w:val="21"/>
              </w:rPr>
              <w:t>0.4972</w:t>
            </w:r>
          </w:p>
        </w:tc>
        <w:tc>
          <w:tcPr>
            <w:tcW w:w="1587" w:type="dxa"/>
          </w:tcPr>
          <w:p w14:paraId="0714D63F">
            <w:pPr>
              <w:spacing w:before="0" w:after="0" w:line="240" w:lineRule="auto"/>
              <w:jc w:val="center"/>
            </w:pPr>
            <w:r>
              <w:rPr>
                <w:rFonts w:ascii="Times New Roman" w:hAnsi="Times New Roman" w:eastAsia="宋体"/>
                <w:b w:val="0"/>
                <w:i w:val="0"/>
                <w:sz w:val="21"/>
              </w:rPr>
              <w:t>0.4204</w:t>
            </w:r>
          </w:p>
        </w:tc>
      </w:tr>
      <w:tr w14:paraId="64D8C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tcPr>
          <w:p w14:paraId="67C30452">
            <w:pPr>
              <w:spacing w:before="0" w:after="0" w:line="240" w:lineRule="auto"/>
              <w:jc w:val="center"/>
            </w:pPr>
            <w:r>
              <w:rPr>
                <w:rFonts w:ascii="Times New Roman" w:hAnsi="Times New Roman" w:eastAsia="宋体"/>
                <w:b w:val="0"/>
                <w:i w:val="0"/>
                <w:sz w:val="21"/>
              </w:rPr>
              <w:t>0.01</w:t>
            </w:r>
          </w:p>
        </w:tc>
        <w:tc>
          <w:tcPr>
            <w:tcW w:w="1587" w:type="dxa"/>
          </w:tcPr>
          <w:p w14:paraId="54440751">
            <w:pPr>
              <w:spacing w:before="0" w:after="0" w:line="240" w:lineRule="auto"/>
              <w:jc w:val="center"/>
            </w:pPr>
            <w:r>
              <w:rPr>
                <w:rFonts w:ascii="Times New Roman" w:hAnsi="Times New Roman" w:eastAsia="宋体"/>
                <w:b w:val="0"/>
                <w:i w:val="0"/>
                <w:sz w:val="21"/>
              </w:rPr>
              <w:t>0.4965</w:t>
            </w:r>
          </w:p>
        </w:tc>
        <w:tc>
          <w:tcPr>
            <w:tcW w:w="1587" w:type="dxa"/>
          </w:tcPr>
          <w:p w14:paraId="6250E035">
            <w:pPr>
              <w:spacing w:before="0" w:after="0" w:line="240" w:lineRule="auto"/>
              <w:jc w:val="center"/>
            </w:pPr>
            <w:r>
              <w:rPr>
                <w:rFonts w:ascii="Times New Roman" w:hAnsi="Times New Roman" w:eastAsia="宋体"/>
                <w:b w:val="0"/>
                <w:i w:val="0"/>
                <w:sz w:val="21"/>
              </w:rPr>
              <w:t>0.4222</w:t>
            </w:r>
          </w:p>
        </w:tc>
        <w:tc>
          <w:tcPr>
            <w:tcW w:w="1587" w:type="dxa"/>
          </w:tcPr>
          <w:p w14:paraId="159B726D">
            <w:pPr>
              <w:spacing w:before="0" w:after="0" w:line="240" w:lineRule="auto"/>
              <w:jc w:val="center"/>
            </w:pPr>
            <w:r>
              <w:rPr>
                <w:rFonts w:ascii="Times New Roman" w:hAnsi="Times New Roman" w:eastAsia="宋体"/>
                <w:b w:val="0"/>
                <w:i w:val="0"/>
                <w:sz w:val="21"/>
              </w:rPr>
              <w:t>0.5027</w:t>
            </w:r>
          </w:p>
        </w:tc>
        <w:tc>
          <w:tcPr>
            <w:tcW w:w="1587" w:type="dxa"/>
          </w:tcPr>
          <w:p w14:paraId="7D9B82B3">
            <w:pPr>
              <w:spacing w:before="0" w:after="0" w:line="240" w:lineRule="auto"/>
              <w:jc w:val="center"/>
            </w:pPr>
            <w:r>
              <w:rPr>
                <w:rFonts w:ascii="Times New Roman" w:hAnsi="Times New Roman" w:eastAsia="宋体"/>
                <w:b w:val="0"/>
                <w:i w:val="0"/>
                <w:sz w:val="21"/>
              </w:rPr>
              <w:t>0.4041</w:t>
            </w:r>
          </w:p>
        </w:tc>
      </w:tr>
      <w:tr w14:paraId="41F19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tcPr>
          <w:p w14:paraId="5C22B60E">
            <w:pPr>
              <w:spacing w:before="0" w:after="0" w:line="240" w:lineRule="auto"/>
              <w:jc w:val="center"/>
            </w:pPr>
            <w:r>
              <w:rPr>
                <w:rFonts w:ascii="Times New Roman" w:hAnsi="Times New Roman" w:eastAsia="宋体"/>
                <w:b w:val="0"/>
                <w:i w:val="0"/>
                <w:sz w:val="21"/>
              </w:rPr>
              <w:t>0.1</w:t>
            </w:r>
          </w:p>
        </w:tc>
        <w:tc>
          <w:tcPr>
            <w:tcW w:w="1587" w:type="dxa"/>
          </w:tcPr>
          <w:p w14:paraId="6FDF6B22">
            <w:pPr>
              <w:spacing w:before="0" w:after="0" w:line="240" w:lineRule="auto"/>
              <w:jc w:val="center"/>
            </w:pPr>
            <w:r>
              <w:rPr>
                <w:rFonts w:ascii="Times New Roman" w:hAnsi="Times New Roman" w:eastAsia="宋体"/>
                <w:b w:val="0"/>
                <w:i w:val="0"/>
                <w:sz w:val="21"/>
              </w:rPr>
              <w:t>0.4965</w:t>
            </w:r>
          </w:p>
        </w:tc>
        <w:tc>
          <w:tcPr>
            <w:tcW w:w="1587" w:type="dxa"/>
          </w:tcPr>
          <w:p w14:paraId="6B2BE138">
            <w:pPr>
              <w:spacing w:before="0" w:after="0" w:line="240" w:lineRule="auto"/>
              <w:jc w:val="center"/>
            </w:pPr>
            <w:r>
              <w:rPr>
                <w:rFonts w:ascii="Times New Roman" w:hAnsi="Times New Roman" w:eastAsia="宋体"/>
                <w:b w:val="0"/>
                <w:i w:val="0"/>
                <w:sz w:val="21"/>
              </w:rPr>
              <w:t>0.4220</w:t>
            </w:r>
          </w:p>
        </w:tc>
        <w:tc>
          <w:tcPr>
            <w:tcW w:w="1587" w:type="dxa"/>
          </w:tcPr>
          <w:p w14:paraId="223BAF3A">
            <w:pPr>
              <w:spacing w:before="0" w:after="0" w:line="240" w:lineRule="auto"/>
              <w:jc w:val="center"/>
            </w:pPr>
            <w:r>
              <w:rPr>
                <w:rFonts w:ascii="Times New Roman" w:hAnsi="Times New Roman" w:eastAsia="宋体"/>
                <w:b w:val="0"/>
                <w:i w:val="0"/>
                <w:sz w:val="21"/>
              </w:rPr>
              <w:t>0.5377</w:t>
            </w:r>
          </w:p>
        </w:tc>
        <w:tc>
          <w:tcPr>
            <w:tcW w:w="1587" w:type="dxa"/>
          </w:tcPr>
          <w:p w14:paraId="47B277D9">
            <w:pPr>
              <w:spacing w:before="0" w:after="0" w:line="240" w:lineRule="auto"/>
              <w:jc w:val="center"/>
            </w:pPr>
            <w:r>
              <w:rPr>
                <w:rFonts w:ascii="Times New Roman" w:hAnsi="Times New Roman" w:eastAsia="宋体"/>
                <w:b w:val="0"/>
                <w:i w:val="0"/>
                <w:sz w:val="21"/>
              </w:rPr>
              <w:t>0.2795</w:t>
            </w:r>
          </w:p>
        </w:tc>
      </w:tr>
      <w:tr w14:paraId="0D642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tcPr>
          <w:p w14:paraId="4227F9AA">
            <w:pPr>
              <w:spacing w:before="0" w:after="0" w:line="240" w:lineRule="auto"/>
              <w:jc w:val="center"/>
            </w:pPr>
            <w:r>
              <w:rPr>
                <w:rFonts w:ascii="Times New Roman" w:hAnsi="Times New Roman" w:eastAsia="宋体"/>
                <w:b w:val="0"/>
                <w:i w:val="0"/>
                <w:sz w:val="21"/>
              </w:rPr>
              <w:t>1.0</w:t>
            </w:r>
          </w:p>
        </w:tc>
        <w:tc>
          <w:tcPr>
            <w:tcW w:w="1587" w:type="dxa"/>
          </w:tcPr>
          <w:p w14:paraId="1EAFD7BC">
            <w:pPr>
              <w:spacing w:before="0" w:after="0" w:line="240" w:lineRule="auto"/>
              <w:jc w:val="center"/>
            </w:pPr>
            <w:r>
              <w:rPr>
                <w:rFonts w:ascii="Times New Roman" w:hAnsi="Times New Roman" w:eastAsia="宋体"/>
                <w:b w:val="0"/>
                <w:i w:val="0"/>
                <w:sz w:val="21"/>
              </w:rPr>
              <w:t>0.4968</w:t>
            </w:r>
          </w:p>
        </w:tc>
        <w:tc>
          <w:tcPr>
            <w:tcW w:w="1587" w:type="dxa"/>
          </w:tcPr>
          <w:p w14:paraId="265DA5DC">
            <w:pPr>
              <w:spacing w:before="0" w:after="0" w:line="240" w:lineRule="auto"/>
              <w:jc w:val="center"/>
            </w:pPr>
            <w:r>
              <w:rPr>
                <w:rFonts w:ascii="Times New Roman" w:hAnsi="Times New Roman" w:eastAsia="宋体"/>
                <w:b w:val="0"/>
                <w:i w:val="0"/>
                <w:sz w:val="21"/>
              </w:rPr>
              <w:t>0.4209</w:t>
            </w:r>
          </w:p>
        </w:tc>
        <w:tc>
          <w:tcPr>
            <w:tcW w:w="1587" w:type="dxa"/>
          </w:tcPr>
          <w:p w14:paraId="5A7C124A">
            <w:pPr>
              <w:spacing w:before="0" w:after="0" w:line="240" w:lineRule="auto"/>
              <w:jc w:val="center"/>
            </w:pPr>
            <w:r>
              <w:rPr>
                <w:rFonts w:ascii="Times New Roman" w:hAnsi="Times New Roman" w:eastAsia="宋体"/>
                <w:b w:val="0"/>
                <w:i w:val="0"/>
                <w:sz w:val="21"/>
              </w:rPr>
              <w:t>0.3179</w:t>
            </w:r>
          </w:p>
        </w:tc>
        <w:tc>
          <w:tcPr>
            <w:tcW w:w="1587" w:type="dxa"/>
          </w:tcPr>
          <w:p w14:paraId="5804A531">
            <w:pPr>
              <w:spacing w:before="0" w:after="0" w:line="240" w:lineRule="auto"/>
              <w:jc w:val="center"/>
            </w:pPr>
            <w:r>
              <w:rPr>
                <w:rFonts w:ascii="Times New Roman" w:hAnsi="Times New Roman" w:eastAsia="宋体"/>
                <w:b w:val="0"/>
                <w:i w:val="0"/>
                <w:sz w:val="21"/>
              </w:rPr>
              <w:t>0.1377</w:t>
            </w:r>
          </w:p>
        </w:tc>
      </w:tr>
      <w:tr w14:paraId="0FFB3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tcPr>
          <w:p w14:paraId="51FDFB3E">
            <w:pPr>
              <w:spacing w:before="0" w:after="0" w:line="240" w:lineRule="auto"/>
              <w:jc w:val="center"/>
            </w:pPr>
            <w:r>
              <w:rPr>
                <w:rFonts w:ascii="Times New Roman" w:hAnsi="Times New Roman" w:eastAsia="宋体"/>
                <w:b w:val="0"/>
                <w:i w:val="0"/>
                <w:sz w:val="21"/>
              </w:rPr>
              <w:t>10.0</w:t>
            </w:r>
          </w:p>
        </w:tc>
        <w:tc>
          <w:tcPr>
            <w:tcW w:w="1587" w:type="dxa"/>
          </w:tcPr>
          <w:p w14:paraId="2B6E9857">
            <w:pPr>
              <w:spacing w:before="0" w:after="0" w:line="240" w:lineRule="auto"/>
              <w:jc w:val="center"/>
            </w:pPr>
            <w:r>
              <w:rPr>
                <w:rFonts w:ascii="Times New Roman" w:hAnsi="Times New Roman" w:eastAsia="宋体"/>
                <w:b w:val="0"/>
                <w:i w:val="0"/>
                <w:sz w:val="21"/>
              </w:rPr>
              <w:t>0.5003</w:t>
            </w:r>
          </w:p>
        </w:tc>
        <w:tc>
          <w:tcPr>
            <w:tcW w:w="1587" w:type="dxa"/>
          </w:tcPr>
          <w:p w14:paraId="0E82E131">
            <w:pPr>
              <w:spacing w:before="0" w:after="0" w:line="240" w:lineRule="auto"/>
              <w:jc w:val="center"/>
            </w:pPr>
            <w:r>
              <w:rPr>
                <w:rFonts w:ascii="Times New Roman" w:hAnsi="Times New Roman" w:eastAsia="宋体"/>
                <w:b w:val="0"/>
                <w:i w:val="0"/>
                <w:sz w:val="21"/>
              </w:rPr>
              <w:t>0.4102</w:t>
            </w:r>
          </w:p>
        </w:tc>
        <w:tc>
          <w:tcPr>
            <w:tcW w:w="1587" w:type="dxa"/>
          </w:tcPr>
          <w:p w14:paraId="415854F5">
            <w:pPr>
              <w:spacing w:before="0" w:after="0" w:line="240" w:lineRule="auto"/>
              <w:jc w:val="center"/>
            </w:pPr>
            <w:r>
              <w:rPr>
                <w:rFonts w:ascii="Times New Roman" w:hAnsi="Times New Roman" w:eastAsia="宋体"/>
                <w:b w:val="0"/>
                <w:i w:val="0"/>
                <w:sz w:val="21"/>
              </w:rPr>
              <w:t>-0.0039</w:t>
            </w:r>
          </w:p>
        </w:tc>
        <w:tc>
          <w:tcPr>
            <w:tcW w:w="1587" w:type="dxa"/>
          </w:tcPr>
          <w:p w14:paraId="5205A5FC">
            <w:pPr>
              <w:spacing w:before="0" w:after="0" w:line="240" w:lineRule="auto"/>
              <w:jc w:val="center"/>
            </w:pPr>
            <w:r>
              <w:rPr>
                <w:rFonts w:ascii="Times New Roman" w:hAnsi="Times New Roman" w:eastAsia="宋体"/>
                <w:b w:val="0"/>
                <w:i w:val="0"/>
                <w:sz w:val="21"/>
              </w:rPr>
              <w:t>0.0042</w:t>
            </w:r>
          </w:p>
        </w:tc>
      </w:tr>
      <w:tr w14:paraId="4B853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20" w:type="dxa"/>
          </w:tcPr>
          <w:p w14:paraId="0177A1C9">
            <w:pPr>
              <w:spacing w:before="0" w:after="0" w:line="240" w:lineRule="auto"/>
              <w:jc w:val="center"/>
            </w:pPr>
            <w:r>
              <w:rPr>
                <w:rFonts w:ascii="Times New Roman" w:hAnsi="Times New Roman" w:eastAsia="宋体"/>
                <w:b w:val="0"/>
                <w:i w:val="0"/>
                <w:sz w:val="21"/>
              </w:rPr>
              <w:t>100.0</w:t>
            </w:r>
          </w:p>
        </w:tc>
        <w:tc>
          <w:tcPr>
            <w:tcW w:w="1587" w:type="dxa"/>
          </w:tcPr>
          <w:p w14:paraId="5B59E863">
            <w:pPr>
              <w:spacing w:before="0" w:after="0" w:line="240" w:lineRule="auto"/>
              <w:jc w:val="center"/>
            </w:pPr>
            <w:r>
              <w:rPr>
                <w:rFonts w:ascii="Times New Roman" w:hAnsi="Times New Roman" w:eastAsia="宋体"/>
                <w:b w:val="0"/>
                <w:i w:val="0"/>
                <w:sz w:val="21"/>
              </w:rPr>
              <w:t>0.5270</w:t>
            </w:r>
          </w:p>
        </w:tc>
        <w:tc>
          <w:tcPr>
            <w:tcW w:w="1587" w:type="dxa"/>
          </w:tcPr>
          <w:p w14:paraId="65CA488C">
            <w:pPr>
              <w:spacing w:before="0" w:after="0" w:line="240" w:lineRule="auto"/>
              <w:jc w:val="center"/>
            </w:pPr>
            <w:r>
              <w:rPr>
                <w:rFonts w:ascii="Times New Roman" w:hAnsi="Times New Roman" w:eastAsia="宋体"/>
                <w:b w:val="0"/>
                <w:i w:val="0"/>
                <w:sz w:val="21"/>
              </w:rPr>
              <w:t>0.3172</w:t>
            </w:r>
          </w:p>
        </w:tc>
        <w:tc>
          <w:tcPr>
            <w:tcW w:w="1587" w:type="dxa"/>
          </w:tcPr>
          <w:p w14:paraId="7B8B9067">
            <w:pPr>
              <w:spacing w:before="0" w:after="0" w:line="240" w:lineRule="auto"/>
              <w:jc w:val="center"/>
            </w:pPr>
            <w:r>
              <w:rPr>
                <w:rFonts w:ascii="Times New Roman" w:hAnsi="Times New Roman" w:eastAsia="宋体"/>
                <w:b w:val="0"/>
                <w:i w:val="0"/>
                <w:sz w:val="21"/>
              </w:rPr>
              <w:t>-0.0039</w:t>
            </w:r>
          </w:p>
        </w:tc>
        <w:tc>
          <w:tcPr>
            <w:tcW w:w="1587" w:type="dxa"/>
          </w:tcPr>
          <w:p w14:paraId="7FF8DD6B">
            <w:pPr>
              <w:spacing w:before="0" w:after="0" w:line="240" w:lineRule="auto"/>
              <w:jc w:val="center"/>
            </w:pPr>
            <w:r>
              <w:rPr>
                <w:rFonts w:ascii="Times New Roman" w:hAnsi="Times New Roman" w:eastAsia="宋体"/>
                <w:b w:val="0"/>
                <w:i w:val="0"/>
                <w:sz w:val="21"/>
              </w:rPr>
              <w:t>0.0042</w:t>
            </w:r>
          </w:p>
        </w:tc>
      </w:tr>
    </w:tbl>
    <w:p w14:paraId="42951D1F">
      <w:pPr>
        <w:spacing w:before="120" w:after="60" w:line="360" w:lineRule="auto"/>
        <w:jc w:val="left"/>
      </w:pPr>
      <w:r>
        <w:rPr>
          <w:rFonts w:ascii="Times New Roman" w:hAnsi="Times New Roman" w:eastAsia="宋体"/>
          <w:b/>
          <w:i w:val="0"/>
          <w:sz w:val="24"/>
        </w:rPr>
        <w:t>6.3 模型对比</w:t>
      </w:r>
    </w:p>
    <w:p w14:paraId="735E5E93">
      <w:pPr>
        <w:spacing w:before="0" w:after="0" w:line="360" w:lineRule="auto"/>
        <w:ind w:firstLine="480"/>
        <w:jc w:val="both"/>
      </w:pPr>
      <w:r>
        <w:rPr>
          <w:rFonts w:ascii="Times New Roman" w:hAnsi="Times New Roman" w:eastAsia="宋体"/>
          <w:b w:val="0"/>
          <w:i w:val="0"/>
          <w:sz w:val="24"/>
        </w:rPr>
        <w:t>选取各自最优alpha参数对应的Ridge回归和Lasso回归模型，与普通最小二乘线性回归一同在测试集上进行评估，结果见表5。</w:t>
      </w:r>
    </w:p>
    <w:p w14:paraId="48C4DDA9">
      <w:pPr>
        <w:spacing w:before="120" w:after="60" w:line="360" w:lineRule="auto"/>
        <w:jc w:val="center"/>
      </w:pPr>
      <w:r>
        <w:rPr>
          <w:rFonts w:ascii="Times New Roman" w:hAnsi="Times New Roman" w:eastAsia="宋体"/>
          <w:b w:val="0"/>
          <w:i w:val="0"/>
          <w:sz w:val="21"/>
        </w:rPr>
        <w:t>表5 三种回归模型在测试集上的性能对比</w:t>
      </w:r>
    </w:p>
    <w:tbl>
      <w:tblPr>
        <w:tblStyle w:val="3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8"/>
        <w:gridCol w:w="1701"/>
        <w:gridCol w:w="1701"/>
        <w:gridCol w:w="1701"/>
      </w:tblGrid>
      <w:tr w14:paraId="07F06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shd w:val="clear" w:color="auto" w:fill="D9E2F3"/>
          </w:tcPr>
          <w:p w14:paraId="5AE4091F">
            <w:pPr>
              <w:spacing w:before="0" w:after="0" w:line="240" w:lineRule="auto"/>
              <w:jc w:val="center"/>
            </w:pPr>
            <w:r>
              <w:rPr>
                <w:rFonts w:ascii="Times New Roman" w:hAnsi="Times New Roman" w:eastAsia="宋体"/>
                <w:b/>
                <w:i w:val="0"/>
                <w:sz w:val="21"/>
              </w:rPr>
              <w:t>模型</w:t>
            </w:r>
          </w:p>
        </w:tc>
        <w:tc>
          <w:tcPr>
            <w:tcW w:w="1701" w:type="dxa"/>
            <w:shd w:val="clear" w:color="auto" w:fill="D9E2F3"/>
          </w:tcPr>
          <w:p w14:paraId="3D8A5C87">
            <w:pPr>
              <w:spacing w:before="0" w:after="0" w:line="240" w:lineRule="auto"/>
              <w:jc w:val="center"/>
            </w:pPr>
            <w:r>
              <w:rPr>
                <w:rFonts w:ascii="Times New Roman" w:hAnsi="Times New Roman" w:eastAsia="宋体"/>
                <w:b/>
                <w:i w:val="0"/>
                <w:sz w:val="21"/>
              </w:rPr>
              <w:t>R方</w:t>
            </w:r>
          </w:p>
        </w:tc>
        <w:tc>
          <w:tcPr>
            <w:tcW w:w="1701" w:type="dxa"/>
            <w:shd w:val="clear" w:color="auto" w:fill="D9E2F3"/>
          </w:tcPr>
          <w:p w14:paraId="7AF6BE09">
            <w:pPr>
              <w:spacing w:before="0" w:after="0" w:line="240" w:lineRule="auto"/>
              <w:jc w:val="center"/>
            </w:pPr>
            <w:r>
              <w:rPr>
                <w:rFonts w:ascii="Times New Roman" w:hAnsi="Times New Roman" w:eastAsia="宋体"/>
                <w:b/>
                <w:i w:val="0"/>
                <w:sz w:val="21"/>
              </w:rPr>
              <w:t>RMSE</w:t>
            </w:r>
          </w:p>
        </w:tc>
        <w:tc>
          <w:tcPr>
            <w:tcW w:w="1701" w:type="dxa"/>
            <w:shd w:val="clear" w:color="auto" w:fill="D9E2F3"/>
          </w:tcPr>
          <w:p w14:paraId="1467548F">
            <w:pPr>
              <w:spacing w:before="0" w:after="0" w:line="240" w:lineRule="auto"/>
              <w:jc w:val="center"/>
            </w:pPr>
            <w:r>
              <w:rPr>
                <w:rFonts w:ascii="Times New Roman" w:hAnsi="Times New Roman" w:eastAsia="宋体"/>
                <w:b/>
                <w:i w:val="0"/>
                <w:sz w:val="21"/>
              </w:rPr>
              <w:t>MAE</w:t>
            </w:r>
          </w:p>
        </w:tc>
      </w:tr>
      <w:tr w14:paraId="22BBA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Pr>
          <w:p w14:paraId="1E9B1DAF">
            <w:pPr>
              <w:spacing w:before="0" w:after="0" w:line="240" w:lineRule="auto"/>
              <w:jc w:val="center"/>
            </w:pPr>
            <w:r>
              <w:rPr>
                <w:rFonts w:ascii="Times New Roman" w:hAnsi="Times New Roman" w:eastAsia="宋体"/>
                <w:b w:val="0"/>
                <w:i w:val="0"/>
                <w:sz w:val="21"/>
              </w:rPr>
              <w:t>线性回归OLS</w:t>
            </w:r>
          </w:p>
        </w:tc>
        <w:tc>
          <w:tcPr>
            <w:tcW w:w="1701" w:type="dxa"/>
          </w:tcPr>
          <w:p w14:paraId="31A57A93">
            <w:pPr>
              <w:spacing w:before="0" w:after="0" w:line="240" w:lineRule="auto"/>
              <w:jc w:val="center"/>
            </w:pPr>
            <w:r>
              <w:rPr>
                <w:rFonts w:ascii="Times New Roman" w:hAnsi="Times New Roman" w:eastAsia="宋体"/>
                <w:b w:val="0"/>
                <w:i w:val="0"/>
                <w:sz w:val="21"/>
              </w:rPr>
              <w:t>0.5679</w:t>
            </w:r>
          </w:p>
        </w:tc>
        <w:tc>
          <w:tcPr>
            <w:tcW w:w="1701" w:type="dxa"/>
          </w:tcPr>
          <w:p w14:paraId="421402C9">
            <w:pPr>
              <w:spacing w:before="0" w:after="0" w:line="240" w:lineRule="auto"/>
              <w:jc w:val="center"/>
            </w:pPr>
            <w:r>
              <w:rPr>
                <w:rFonts w:ascii="Times New Roman" w:hAnsi="Times New Roman" w:eastAsia="宋体"/>
                <w:b w:val="0"/>
                <w:i w:val="0"/>
                <w:sz w:val="21"/>
              </w:rPr>
              <w:t>1.0423</w:t>
            </w:r>
          </w:p>
        </w:tc>
        <w:tc>
          <w:tcPr>
            <w:tcW w:w="1701" w:type="dxa"/>
          </w:tcPr>
          <w:p w14:paraId="4237BFBC">
            <w:pPr>
              <w:spacing w:before="0" w:after="0" w:line="240" w:lineRule="auto"/>
              <w:jc w:val="center"/>
            </w:pPr>
            <w:r>
              <w:rPr>
                <w:rFonts w:ascii="Times New Roman" w:hAnsi="Times New Roman" w:eastAsia="宋体"/>
                <w:b w:val="0"/>
                <w:i w:val="0"/>
                <w:sz w:val="21"/>
              </w:rPr>
              <w:t>0.7095</w:t>
            </w:r>
          </w:p>
        </w:tc>
      </w:tr>
      <w:tr w14:paraId="3C377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Pr>
          <w:p w14:paraId="1B081FAE">
            <w:pPr>
              <w:spacing w:before="0" w:after="0" w:line="240" w:lineRule="auto"/>
              <w:jc w:val="center"/>
            </w:pPr>
            <w:r>
              <w:rPr>
                <w:rFonts w:ascii="Times New Roman" w:hAnsi="Times New Roman" w:eastAsia="宋体"/>
                <w:b w:val="0"/>
                <w:i w:val="0"/>
                <w:sz w:val="21"/>
              </w:rPr>
              <w:t>Ridge (alpha=100)</w:t>
            </w:r>
          </w:p>
        </w:tc>
        <w:tc>
          <w:tcPr>
            <w:tcW w:w="1701" w:type="dxa"/>
          </w:tcPr>
          <w:p w14:paraId="3A43594A">
            <w:pPr>
              <w:spacing w:before="0" w:after="0" w:line="240" w:lineRule="auto"/>
              <w:jc w:val="center"/>
            </w:pPr>
            <w:r>
              <w:rPr>
                <w:rFonts w:ascii="Times New Roman" w:hAnsi="Times New Roman" w:eastAsia="宋体"/>
                <w:b w:val="0"/>
                <w:i w:val="0"/>
                <w:sz w:val="21"/>
              </w:rPr>
              <w:t>0.5691</w:t>
            </w:r>
          </w:p>
        </w:tc>
        <w:tc>
          <w:tcPr>
            <w:tcW w:w="1701" w:type="dxa"/>
          </w:tcPr>
          <w:p w14:paraId="5355B497">
            <w:pPr>
              <w:spacing w:before="0" w:after="0" w:line="240" w:lineRule="auto"/>
              <w:jc w:val="center"/>
            </w:pPr>
            <w:r>
              <w:rPr>
                <w:rFonts w:ascii="Times New Roman" w:hAnsi="Times New Roman" w:eastAsia="宋体"/>
                <w:b w:val="0"/>
                <w:i w:val="0"/>
                <w:sz w:val="21"/>
              </w:rPr>
              <w:t>1.0410</w:t>
            </w:r>
          </w:p>
        </w:tc>
        <w:tc>
          <w:tcPr>
            <w:tcW w:w="1701" w:type="dxa"/>
          </w:tcPr>
          <w:p w14:paraId="5CE80AB0">
            <w:pPr>
              <w:spacing w:before="0" w:after="0" w:line="240" w:lineRule="auto"/>
              <w:jc w:val="center"/>
            </w:pPr>
            <w:r>
              <w:rPr>
                <w:rFonts w:ascii="Times New Roman" w:hAnsi="Times New Roman" w:eastAsia="宋体"/>
                <w:b w:val="0"/>
                <w:i w:val="0"/>
                <w:sz w:val="21"/>
              </w:rPr>
              <w:t>0.7002</w:t>
            </w:r>
          </w:p>
        </w:tc>
      </w:tr>
      <w:tr w14:paraId="6D341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68" w:type="dxa"/>
          </w:tcPr>
          <w:p w14:paraId="6DD41AFC">
            <w:pPr>
              <w:spacing w:before="0" w:after="0" w:line="240" w:lineRule="auto"/>
              <w:jc w:val="center"/>
            </w:pPr>
            <w:r>
              <w:rPr>
                <w:rFonts w:ascii="Times New Roman" w:hAnsi="Times New Roman" w:eastAsia="宋体"/>
                <w:b w:val="0"/>
                <w:i w:val="0"/>
                <w:sz w:val="21"/>
              </w:rPr>
              <w:t>Lasso (alpha=0.1)</w:t>
            </w:r>
          </w:p>
        </w:tc>
        <w:tc>
          <w:tcPr>
            <w:tcW w:w="1701" w:type="dxa"/>
          </w:tcPr>
          <w:p w14:paraId="78A5612D">
            <w:pPr>
              <w:spacing w:before="0" w:after="0" w:line="240" w:lineRule="auto"/>
              <w:jc w:val="center"/>
            </w:pPr>
            <w:r>
              <w:rPr>
                <w:rFonts w:ascii="Times New Roman" w:hAnsi="Times New Roman" w:eastAsia="宋体"/>
                <w:b w:val="0"/>
                <w:i w:val="0"/>
                <w:sz w:val="21"/>
              </w:rPr>
              <w:t>0.5701</w:t>
            </w:r>
          </w:p>
        </w:tc>
        <w:tc>
          <w:tcPr>
            <w:tcW w:w="1701" w:type="dxa"/>
          </w:tcPr>
          <w:p w14:paraId="5881A45A">
            <w:pPr>
              <w:spacing w:before="0" w:after="0" w:line="240" w:lineRule="auto"/>
              <w:jc w:val="center"/>
            </w:pPr>
            <w:r>
              <w:rPr>
                <w:rFonts w:ascii="Times New Roman" w:hAnsi="Times New Roman" w:eastAsia="宋体"/>
                <w:b w:val="0"/>
                <w:i w:val="0"/>
                <w:sz w:val="21"/>
              </w:rPr>
              <w:t>1.0397</w:t>
            </w:r>
          </w:p>
        </w:tc>
        <w:tc>
          <w:tcPr>
            <w:tcW w:w="1701" w:type="dxa"/>
          </w:tcPr>
          <w:p w14:paraId="47F59CE0">
            <w:pPr>
              <w:spacing w:before="0" w:after="0" w:line="240" w:lineRule="auto"/>
              <w:jc w:val="center"/>
            </w:pPr>
            <w:r>
              <w:rPr>
                <w:rFonts w:ascii="Times New Roman" w:hAnsi="Times New Roman" w:eastAsia="宋体"/>
                <w:b w:val="0"/>
                <w:i w:val="0"/>
                <w:sz w:val="21"/>
              </w:rPr>
              <w:t>0.7006</w:t>
            </w:r>
          </w:p>
        </w:tc>
      </w:tr>
    </w:tbl>
    <w:p w14:paraId="689D8E63">
      <w:pPr>
        <w:spacing w:before="0" w:after="0" w:line="360" w:lineRule="auto"/>
        <w:ind w:firstLine="480"/>
        <w:jc w:val="both"/>
      </w:pPr>
      <w:r>
        <w:rPr>
          <w:rFonts w:ascii="Times New Roman" w:hAnsi="Times New Roman" w:eastAsia="宋体"/>
          <w:b w:val="0"/>
          <w:i w:val="0"/>
          <w:sz w:val="24"/>
        </w:rPr>
        <w:t>三种模型在测试集上的表现非常接近。Lasso回归的R方为0.5701，略高于其他两种模型，RMSE和MAE也最低，但差异幅度很小。这一结果说明在当前数据集和特征组合下，正则化处理并未带来显著的性能提升，模型的预测瓶颈主要来自线性假设本身的局限性而非过拟合问题。</w:t>
      </w:r>
    </w:p>
    <w:p w14:paraId="1D15420D">
      <w:r>
        <w:br w:type="page"/>
      </w:r>
    </w:p>
    <w:p w14:paraId="5B2E7C9C">
      <w:pPr>
        <w:spacing w:before="240" w:after="120" w:line="360" w:lineRule="auto"/>
        <w:jc w:val="left"/>
      </w:pPr>
      <w:r>
        <w:rPr>
          <w:rFonts w:ascii="Times New Roman" w:hAnsi="Times New Roman" w:eastAsia="宋体"/>
          <w:b/>
          <w:i w:val="0"/>
          <w:sz w:val="28"/>
        </w:rPr>
        <w:t>七、结论与展望</w:t>
      </w:r>
    </w:p>
    <w:p w14:paraId="66B72B20">
      <w:pPr>
        <w:spacing w:before="0" w:after="0" w:line="360" w:lineRule="auto"/>
        <w:ind w:firstLine="480"/>
        <w:jc w:val="both"/>
      </w:pPr>
      <w:r>
        <w:rPr>
          <w:rFonts w:ascii="Times New Roman" w:hAnsi="Times New Roman" w:eastAsia="宋体"/>
          <w:b w:val="0"/>
          <w:i w:val="0"/>
          <w:sz w:val="24"/>
        </w:rPr>
        <w:t>本报告以贵州茅台（600519.SH）2020年1月至2025年12月期间的1455个交易日数据为基础，通过描述性统计、相关分析、VIF检验和多元线性回归建模等方法，系统分析了影响股票日收益率的关键因素。</w:t>
      </w:r>
    </w:p>
    <w:p w14:paraId="5D888E71">
      <w:pPr>
        <w:spacing w:before="0" w:after="0" w:line="360" w:lineRule="auto"/>
        <w:ind w:firstLine="480"/>
        <w:jc w:val="both"/>
      </w:pPr>
      <w:r>
        <w:rPr>
          <w:rFonts w:ascii="Times New Roman" w:hAnsi="Times New Roman" w:eastAsia="宋体"/>
          <w:b w:val="0"/>
          <w:i w:val="0"/>
          <w:sz w:val="24"/>
        </w:rPr>
        <w:t>研究发现，资金净流入量是影响贵州茅台日收益率最为显著的因素，其标准化回归系数远高于其他变量，表明市场资金面的变化对股价短期走势具有决定性的驱动作用。滚动市销率对收益率也具有一定的正向影响，反映了估值变化与股价波动之间的关联。换手率在控制其他变量后对收益率的独立解释力非常有限，这可能是因为换手率的信息已经被资金流向指标所吸收。</w:t>
      </w:r>
    </w:p>
    <w:p w14:paraId="40259F7F">
      <w:pPr>
        <w:spacing w:before="0" w:after="0" w:line="360" w:lineRule="auto"/>
        <w:ind w:firstLine="480"/>
        <w:jc w:val="both"/>
      </w:pPr>
      <w:r>
        <w:rPr>
          <w:rFonts w:ascii="Times New Roman" w:hAnsi="Times New Roman" w:eastAsia="宋体"/>
          <w:b w:val="0"/>
          <w:i w:val="0"/>
          <w:sz w:val="24"/>
        </w:rPr>
        <w:t>模型在测试集上的R方约为0.57，能够解释超过一半的收益率变异，对于日频收益率预测而言属于中等偏上的水平。K折交叉验证的结果证实了模型的稳定性，不同折数下的R方均值保持在0.58至0.60之间。Ridge和Lasso两种正则化回归在本数据集上未能带来明显的性能改善，说明模型不存在严重的过拟合问题。</w:t>
      </w:r>
    </w:p>
    <w:p w14:paraId="45B74A13">
      <w:pPr>
        <w:spacing w:before="0" w:after="0" w:line="360" w:lineRule="auto"/>
        <w:ind w:firstLine="480"/>
        <w:jc w:val="both"/>
      </w:pPr>
      <w:r>
        <w:rPr>
          <w:rFonts w:ascii="Times New Roman" w:hAnsi="Times New Roman" w:eastAsia="宋体"/>
          <w:b w:val="0"/>
          <w:i w:val="0"/>
          <w:sz w:val="24"/>
        </w:rPr>
        <w:t>本研究也存在一些局限性。首先，线性回归假设自变量与因变量之间存在线性关系，但金融市场中的价格动态往往具有非线性特征，未来可以尝试引入随机森林或梯度提升树等非线性模型进行对比分析。其次，本研究仅使用了个股层面的交易和估值数据，未纳入宏观经济指标、行业景气指数或市场情绪指标等外部因素，扩展数据维度有望进一步提升模型的解释力。此外，资金净流入量与日收益率之间可能存在同步性而非因果关系，这一问题需要借助格兰杰因果检验或工具变量法进行更深入的探讨。</w:t>
      </w:r>
    </w:p>
    <w:p w14:paraId="53620707">
      <w:r>
        <w:br w:type="page"/>
      </w:r>
    </w:p>
    <w:p w14:paraId="23041A7A">
      <w:pPr>
        <w:spacing w:before="240" w:after="120" w:line="360" w:lineRule="auto"/>
        <w:jc w:val="left"/>
      </w:pPr>
      <w:r>
        <w:rPr>
          <w:rFonts w:ascii="Times New Roman" w:hAnsi="Times New Roman" w:eastAsia="宋体"/>
          <w:b/>
          <w:i w:val="0"/>
          <w:sz w:val="28"/>
        </w:rPr>
        <w:t>附录：核心代码</w:t>
      </w:r>
    </w:p>
    <w:p w14:paraId="4D2A9633">
      <w:pPr>
        <w:spacing w:before="0" w:after="0" w:line="360" w:lineRule="auto"/>
        <w:ind w:firstLine="480"/>
        <w:jc w:val="both"/>
      </w:pPr>
      <w:r>
        <w:rPr>
          <w:rFonts w:ascii="Times New Roman" w:hAnsi="Times New Roman" w:eastAsia="宋体"/>
          <w:b w:val="0"/>
          <w:i w:val="0"/>
          <w:sz w:val="24"/>
        </w:rPr>
        <w:t>以下为本研究中多元线性回归建模与K折交叉验证的核心代码片段。</w:t>
      </w:r>
    </w:p>
    <w:p w14:paraId="4FF66225">
      <w:pPr>
        <w:spacing w:before="120" w:after="60" w:line="360" w:lineRule="auto"/>
        <w:jc w:val="left"/>
      </w:pPr>
      <w:r>
        <w:rPr>
          <w:rFonts w:ascii="Times New Roman" w:hAnsi="Times New Roman" w:eastAsia="宋体"/>
          <w:b/>
          <w:i w:val="0"/>
          <w:sz w:val="24"/>
        </w:rPr>
        <w:t>A.1 数据标准化与模型训练</w:t>
      </w:r>
    </w:p>
    <w:p w14:paraId="143A2C1D">
      <w:pPr>
        <w:shd w:val="clear" w:color="auto" w:fill="F2F2F2"/>
        <w:spacing w:before="0" w:after="0" w:line="288" w:lineRule="auto"/>
        <w:ind w:firstLine="0"/>
        <w:jc w:val="left"/>
      </w:pPr>
      <w:r>
        <w:rPr>
          <w:rFonts w:ascii="Consolas" w:hAnsi="Consolas" w:eastAsia="Consolas"/>
          <w:sz w:val="20"/>
        </w:rPr>
        <w:t>from sklearn.preprocessing import StandardScaler</w:t>
      </w:r>
    </w:p>
    <w:p w14:paraId="57FC8A7A">
      <w:pPr>
        <w:shd w:val="clear" w:color="auto" w:fill="F2F2F2"/>
        <w:spacing w:before="0" w:after="0" w:line="288" w:lineRule="auto"/>
        <w:ind w:firstLine="0"/>
        <w:jc w:val="left"/>
      </w:pPr>
      <w:r>
        <w:rPr>
          <w:rFonts w:ascii="Consolas" w:hAnsi="Consolas" w:eastAsia="Consolas"/>
          <w:sz w:val="20"/>
        </w:rPr>
        <w:t>from sklearn.linear_model import LinearRegression</w:t>
      </w:r>
    </w:p>
    <w:p w14:paraId="6950A65F">
      <w:pPr>
        <w:shd w:val="clear" w:color="auto" w:fill="F2F2F2"/>
        <w:spacing w:before="0" w:after="0" w:line="288" w:lineRule="auto"/>
        <w:ind w:firstLine="0"/>
        <w:jc w:val="left"/>
      </w:pPr>
      <w:r>
        <w:rPr>
          <w:rFonts w:ascii="Consolas" w:hAnsi="Consolas" w:eastAsia="Consolas"/>
          <w:sz w:val="20"/>
        </w:rPr>
        <w:t>from sklearn.model_selection import train_test_split</w:t>
      </w:r>
    </w:p>
    <w:p w14:paraId="59049438">
      <w:pPr>
        <w:shd w:val="clear" w:color="auto" w:fill="F2F2F2"/>
        <w:spacing w:before="0" w:after="0" w:line="288" w:lineRule="auto"/>
        <w:ind w:firstLine="0"/>
        <w:jc w:val="left"/>
      </w:pPr>
      <w:r>
        <w:rPr>
          <w:rFonts w:ascii="Consolas" w:hAnsi="Consolas" w:eastAsia="Consolas"/>
          <w:sz w:val="20"/>
        </w:rPr>
        <w:t xml:space="preserve"> </w:t>
      </w:r>
    </w:p>
    <w:p w14:paraId="3C4B0F74">
      <w:pPr>
        <w:shd w:val="clear" w:color="auto" w:fill="F2F2F2"/>
        <w:spacing w:before="0" w:after="0" w:line="288" w:lineRule="auto"/>
        <w:ind w:firstLine="0"/>
        <w:jc w:val="left"/>
      </w:pPr>
      <w:r>
        <w:rPr>
          <w:rFonts w:ascii="Consolas" w:hAnsi="Consolas" w:eastAsia="Consolas"/>
          <w:sz w:val="20"/>
        </w:rPr>
        <w:t>scaler = StandardScaler()</w:t>
      </w:r>
    </w:p>
    <w:p w14:paraId="0FB0129C">
      <w:pPr>
        <w:shd w:val="clear" w:color="auto" w:fill="F2F2F2"/>
        <w:spacing w:before="0" w:after="0" w:line="288" w:lineRule="auto"/>
        <w:ind w:firstLine="0"/>
        <w:jc w:val="left"/>
      </w:pPr>
      <w:r>
        <w:rPr>
          <w:rFonts w:ascii="Consolas" w:hAnsi="Consolas" w:eastAsia="Consolas"/>
          <w:sz w:val="20"/>
        </w:rPr>
        <w:t>X_scaled = scaler.fit_transform(X)</w:t>
      </w:r>
    </w:p>
    <w:p w14:paraId="57103505">
      <w:pPr>
        <w:shd w:val="clear" w:color="auto" w:fill="F2F2F2"/>
        <w:spacing w:before="0" w:after="0" w:line="288" w:lineRule="auto"/>
        <w:ind w:firstLine="0"/>
        <w:jc w:val="left"/>
      </w:pPr>
      <w:r>
        <w:rPr>
          <w:rFonts w:ascii="Consolas" w:hAnsi="Consolas" w:eastAsia="Consolas"/>
          <w:sz w:val="20"/>
        </w:rPr>
        <w:t xml:space="preserve"> </w:t>
      </w:r>
    </w:p>
    <w:p w14:paraId="5BCFCEF8">
      <w:pPr>
        <w:shd w:val="clear" w:color="auto" w:fill="F2F2F2"/>
        <w:spacing w:before="0" w:after="0" w:line="288" w:lineRule="auto"/>
        <w:ind w:firstLine="0"/>
        <w:jc w:val="left"/>
      </w:pPr>
      <w:r>
        <w:rPr>
          <w:rFonts w:ascii="Consolas" w:hAnsi="Consolas" w:eastAsia="Consolas"/>
          <w:sz w:val="20"/>
        </w:rPr>
        <w:t>X_train, X_test, y_train, y_test = train_test_split(</w:t>
      </w:r>
    </w:p>
    <w:p w14:paraId="3C3879A3">
      <w:pPr>
        <w:shd w:val="clear" w:color="auto" w:fill="F2F2F2"/>
        <w:spacing w:before="0" w:after="0" w:line="288" w:lineRule="auto"/>
        <w:ind w:firstLine="0"/>
        <w:jc w:val="left"/>
      </w:pPr>
      <w:r>
        <w:rPr>
          <w:rFonts w:ascii="Consolas" w:hAnsi="Consolas" w:eastAsia="Consolas"/>
          <w:sz w:val="20"/>
        </w:rPr>
        <w:t xml:space="preserve">    X_scaled, y, test_size=0.2, random_state=42</w:t>
      </w:r>
    </w:p>
    <w:p w14:paraId="1F240C3E">
      <w:pPr>
        <w:shd w:val="clear" w:color="auto" w:fill="F2F2F2"/>
        <w:spacing w:before="0" w:after="0" w:line="288" w:lineRule="auto"/>
        <w:ind w:firstLine="0"/>
        <w:jc w:val="left"/>
      </w:pPr>
      <w:r>
        <w:rPr>
          <w:rFonts w:ascii="Consolas" w:hAnsi="Consolas" w:eastAsia="Consolas"/>
          <w:sz w:val="20"/>
        </w:rPr>
        <w:t>)</w:t>
      </w:r>
    </w:p>
    <w:p w14:paraId="47850FDE">
      <w:pPr>
        <w:shd w:val="clear" w:color="auto" w:fill="F2F2F2"/>
        <w:spacing w:before="0" w:after="0" w:line="288" w:lineRule="auto"/>
        <w:ind w:firstLine="0"/>
        <w:jc w:val="left"/>
      </w:pPr>
      <w:r>
        <w:rPr>
          <w:rFonts w:ascii="Consolas" w:hAnsi="Consolas" w:eastAsia="Consolas"/>
          <w:sz w:val="20"/>
        </w:rPr>
        <w:t xml:space="preserve"> </w:t>
      </w:r>
    </w:p>
    <w:p w14:paraId="590379AB">
      <w:pPr>
        <w:shd w:val="clear" w:color="auto" w:fill="F2F2F2"/>
        <w:spacing w:before="0" w:after="0" w:line="288" w:lineRule="auto"/>
        <w:ind w:firstLine="0"/>
        <w:jc w:val="left"/>
      </w:pPr>
      <w:r>
        <w:rPr>
          <w:rFonts w:ascii="Consolas" w:hAnsi="Consolas" w:eastAsia="Consolas"/>
          <w:sz w:val="20"/>
        </w:rPr>
        <w:t>lr = LinearRegression()</w:t>
      </w:r>
    </w:p>
    <w:p w14:paraId="2A5E289E">
      <w:pPr>
        <w:shd w:val="clear" w:color="auto" w:fill="F2F2F2"/>
        <w:spacing w:before="0" w:after="0" w:line="288" w:lineRule="auto"/>
        <w:ind w:firstLine="0"/>
        <w:jc w:val="left"/>
      </w:pPr>
      <w:r>
        <w:rPr>
          <w:rFonts w:ascii="Consolas" w:hAnsi="Consolas" w:eastAsia="Consolas"/>
          <w:sz w:val="20"/>
        </w:rPr>
        <w:t>lr.fit(X_train, y_train)</w:t>
      </w:r>
    </w:p>
    <w:p w14:paraId="3878BD38">
      <w:pPr>
        <w:shd w:val="clear" w:color="auto" w:fill="F2F2F2"/>
        <w:spacing w:before="0" w:after="0" w:line="288" w:lineRule="auto"/>
        <w:ind w:firstLine="0"/>
        <w:jc w:val="left"/>
      </w:pPr>
      <w:r>
        <w:rPr>
          <w:rFonts w:ascii="Consolas" w:hAnsi="Consolas" w:eastAsia="Consolas"/>
          <w:sz w:val="20"/>
        </w:rPr>
        <w:t>y_pred = lr.predict(X_test)</w:t>
      </w:r>
    </w:p>
    <w:p w14:paraId="1E0C9584">
      <w:pPr>
        <w:spacing w:before="120" w:after="60" w:line="360" w:lineRule="auto"/>
        <w:jc w:val="left"/>
      </w:pPr>
      <w:r>
        <w:rPr>
          <w:rFonts w:ascii="Times New Roman" w:hAnsi="Times New Roman" w:eastAsia="宋体"/>
          <w:b/>
          <w:i w:val="0"/>
          <w:sz w:val="24"/>
        </w:rPr>
        <w:t>A.2 K折交叉验证</w:t>
      </w:r>
    </w:p>
    <w:p w14:paraId="60D38110">
      <w:pPr>
        <w:shd w:val="clear" w:color="auto" w:fill="F2F2F2"/>
        <w:spacing w:before="0" w:after="0" w:line="288" w:lineRule="auto"/>
        <w:ind w:firstLine="0"/>
        <w:jc w:val="left"/>
      </w:pPr>
      <w:r>
        <w:rPr>
          <w:rFonts w:ascii="Consolas" w:hAnsi="Consolas" w:eastAsia="Consolas"/>
          <w:sz w:val="20"/>
        </w:rPr>
        <w:t>from sklearn.model_selection import KFold, cross_val_score</w:t>
      </w:r>
    </w:p>
    <w:p w14:paraId="5275C317">
      <w:pPr>
        <w:shd w:val="clear" w:color="auto" w:fill="F2F2F2"/>
        <w:spacing w:before="0" w:after="0" w:line="288" w:lineRule="auto"/>
        <w:ind w:firstLine="0"/>
        <w:jc w:val="left"/>
      </w:pPr>
      <w:r>
        <w:rPr>
          <w:rFonts w:ascii="Consolas" w:hAnsi="Consolas" w:eastAsia="Consolas"/>
          <w:sz w:val="20"/>
        </w:rPr>
        <w:t xml:space="preserve"> </w:t>
      </w:r>
    </w:p>
    <w:p w14:paraId="44FE4AFE">
      <w:pPr>
        <w:shd w:val="clear" w:color="auto" w:fill="F2F2F2"/>
        <w:spacing w:before="0" w:after="0" w:line="288" w:lineRule="auto"/>
        <w:ind w:firstLine="0"/>
        <w:jc w:val="left"/>
      </w:pPr>
      <w:r>
        <w:rPr>
          <w:rFonts w:ascii="Consolas" w:hAnsi="Consolas" w:eastAsia="Consolas"/>
          <w:sz w:val="20"/>
        </w:rPr>
        <w:t>for k in [5, 10]:</w:t>
      </w:r>
    </w:p>
    <w:p w14:paraId="61C5D648">
      <w:pPr>
        <w:shd w:val="clear" w:color="auto" w:fill="F2F2F2"/>
        <w:spacing w:before="0" w:after="0" w:line="288" w:lineRule="auto"/>
        <w:ind w:firstLine="0"/>
        <w:jc w:val="left"/>
      </w:pPr>
      <w:r>
        <w:rPr>
          <w:rFonts w:ascii="Consolas" w:hAnsi="Consolas" w:eastAsia="Consolas"/>
          <w:sz w:val="20"/>
        </w:rPr>
        <w:t xml:space="preserve">    kf = KFold(n_splits=k, shuffle=True, random_state=42)</w:t>
      </w:r>
    </w:p>
    <w:p w14:paraId="65CD9B50">
      <w:pPr>
        <w:shd w:val="clear" w:color="auto" w:fill="F2F2F2"/>
        <w:spacing w:before="0" w:after="0" w:line="288" w:lineRule="auto"/>
        <w:ind w:firstLine="0"/>
        <w:jc w:val="left"/>
      </w:pPr>
      <w:r>
        <w:rPr>
          <w:rFonts w:ascii="Consolas" w:hAnsi="Consolas" w:eastAsia="Consolas"/>
          <w:sz w:val="20"/>
        </w:rPr>
        <w:t xml:space="preserve">    scores = cross_val_score(</w:t>
      </w:r>
    </w:p>
    <w:p w14:paraId="587FD33C">
      <w:pPr>
        <w:shd w:val="clear" w:color="auto" w:fill="F2F2F2"/>
        <w:spacing w:before="0" w:after="0" w:line="288" w:lineRule="auto"/>
        <w:ind w:firstLine="0"/>
        <w:jc w:val="left"/>
      </w:pPr>
      <w:r>
        <w:rPr>
          <w:rFonts w:ascii="Consolas" w:hAnsi="Consolas" w:eastAsia="Consolas"/>
          <w:sz w:val="20"/>
        </w:rPr>
        <w:t xml:space="preserve">        LinearRegression(), X_scaled, y, cv=kf, scoring='r2'</w:t>
      </w:r>
    </w:p>
    <w:p w14:paraId="3C252D7D">
      <w:pPr>
        <w:shd w:val="clear" w:color="auto" w:fill="F2F2F2"/>
        <w:spacing w:before="0" w:after="0" w:line="288" w:lineRule="auto"/>
        <w:ind w:firstLine="0"/>
        <w:jc w:val="left"/>
      </w:pPr>
      <w:r>
        <w:rPr>
          <w:rFonts w:ascii="Consolas" w:hAnsi="Consolas" w:eastAsia="Consolas"/>
          <w:sz w:val="20"/>
        </w:rPr>
        <w:t xml:space="preserve">    )</w:t>
      </w:r>
    </w:p>
    <w:p w14:paraId="6133BAEF">
      <w:pPr>
        <w:shd w:val="clear" w:color="auto" w:fill="F2F2F2"/>
        <w:spacing w:before="0" w:after="0" w:line="288" w:lineRule="auto"/>
        <w:ind w:firstLine="0"/>
        <w:jc w:val="left"/>
      </w:pPr>
      <w:r>
        <w:rPr>
          <w:rFonts w:ascii="Consolas" w:hAnsi="Consolas" w:eastAsia="Consolas"/>
          <w:sz w:val="20"/>
        </w:rPr>
        <w:t xml:space="preserve">    print(f'{k}折交叉验证 R² 均值: {scores.mean():.4f}')</w:t>
      </w:r>
    </w:p>
    <w:p w14:paraId="4FD2E6CF">
      <w:pPr>
        <w:spacing w:before="120" w:after="60" w:line="360" w:lineRule="auto"/>
        <w:jc w:val="left"/>
      </w:pPr>
      <w:r>
        <w:rPr>
          <w:rFonts w:ascii="Times New Roman" w:hAnsi="Times New Roman" w:eastAsia="宋体"/>
          <w:b/>
          <w:i w:val="0"/>
          <w:sz w:val="24"/>
        </w:rPr>
        <w:t>A.3 Ridge与Lasso正则化回归</w:t>
      </w:r>
    </w:p>
    <w:p w14:paraId="74B9EFCF">
      <w:pPr>
        <w:shd w:val="clear" w:color="auto" w:fill="F2F2F2"/>
        <w:spacing w:before="0" w:after="0" w:line="288" w:lineRule="auto"/>
        <w:ind w:firstLine="0"/>
        <w:jc w:val="left"/>
      </w:pPr>
      <w:r>
        <w:rPr>
          <w:rFonts w:ascii="Consolas" w:hAnsi="Consolas" w:eastAsia="Consolas"/>
          <w:sz w:val="20"/>
        </w:rPr>
        <w:t>from sklearn.linear_model import Ridge, Lasso</w:t>
      </w:r>
    </w:p>
    <w:p w14:paraId="6FB72B5B">
      <w:pPr>
        <w:shd w:val="clear" w:color="auto" w:fill="F2F2F2"/>
        <w:spacing w:before="0" w:after="0" w:line="288" w:lineRule="auto"/>
        <w:ind w:firstLine="0"/>
        <w:jc w:val="left"/>
      </w:pPr>
      <w:r>
        <w:rPr>
          <w:rFonts w:ascii="Consolas" w:hAnsi="Consolas" w:eastAsia="Consolas"/>
          <w:sz w:val="20"/>
        </w:rPr>
        <w:t xml:space="preserve"> </w:t>
      </w:r>
    </w:p>
    <w:p w14:paraId="5120BDE4">
      <w:pPr>
        <w:shd w:val="clear" w:color="auto" w:fill="F2F2F2"/>
        <w:spacing w:before="0" w:after="0" w:line="288" w:lineRule="auto"/>
        <w:ind w:firstLine="0"/>
        <w:jc w:val="left"/>
      </w:pPr>
      <w:r>
        <w:rPr>
          <w:rFonts w:ascii="Consolas" w:hAnsi="Consolas" w:eastAsia="Consolas"/>
          <w:sz w:val="20"/>
        </w:rPr>
        <w:t>alphas = [0.001, 0.01, 0.1, 1.0, 10.0, 100.0]</w:t>
      </w:r>
    </w:p>
    <w:p w14:paraId="3CBB4DCB">
      <w:pPr>
        <w:shd w:val="clear" w:color="auto" w:fill="F2F2F2"/>
        <w:spacing w:before="0" w:after="0" w:line="288" w:lineRule="auto"/>
        <w:ind w:firstLine="0"/>
        <w:jc w:val="left"/>
      </w:pPr>
      <w:r>
        <w:rPr>
          <w:rFonts w:ascii="Consolas" w:hAnsi="Consolas" w:eastAsia="Consolas"/>
          <w:sz w:val="20"/>
        </w:rPr>
        <w:t>for alpha in alphas:</w:t>
      </w:r>
    </w:p>
    <w:p w14:paraId="6DC5B509">
      <w:pPr>
        <w:shd w:val="clear" w:color="auto" w:fill="F2F2F2"/>
        <w:spacing w:before="0" w:after="0" w:line="288" w:lineRule="auto"/>
        <w:ind w:firstLine="0"/>
        <w:jc w:val="left"/>
      </w:pPr>
      <w:r>
        <w:rPr>
          <w:rFonts w:ascii="Consolas" w:hAnsi="Consolas" w:eastAsia="Consolas"/>
          <w:sz w:val="20"/>
        </w:rPr>
        <w:t xml:space="preserve">    ridge = Ridge(alpha=alpha)</w:t>
      </w:r>
    </w:p>
    <w:p w14:paraId="39F86D85">
      <w:pPr>
        <w:shd w:val="clear" w:color="auto" w:fill="F2F2F2"/>
        <w:spacing w:before="0" w:after="0" w:line="288" w:lineRule="auto"/>
        <w:ind w:firstLine="0"/>
        <w:jc w:val="left"/>
      </w:pPr>
      <w:r>
        <w:rPr>
          <w:rFonts w:ascii="Consolas" w:hAnsi="Consolas" w:eastAsia="Consolas"/>
          <w:sz w:val="20"/>
        </w:rPr>
        <w:t xml:space="preserve">    ridge_scores = cross_val_score(ridge, X_scaled, y, cv=10, scoring='r2')</w:t>
      </w:r>
    </w:p>
    <w:p w14:paraId="1A6A51FE">
      <w:pPr>
        <w:shd w:val="clear" w:color="auto" w:fill="F2F2F2"/>
        <w:spacing w:before="0" w:after="0" w:line="288" w:lineRule="auto"/>
        <w:ind w:firstLine="0"/>
        <w:jc w:val="left"/>
      </w:pPr>
      <w:r>
        <w:rPr>
          <w:rFonts w:ascii="Consolas" w:hAnsi="Consolas" w:eastAsia="Consolas"/>
          <w:sz w:val="20"/>
        </w:rPr>
        <w:t xml:space="preserve">    lasso = Lasso(alpha=alpha, max_iter=10000)</w:t>
      </w:r>
    </w:p>
    <w:p w14:paraId="7E86B0CC">
      <w:pPr>
        <w:shd w:val="clear" w:color="auto" w:fill="F2F2F2"/>
        <w:spacing w:before="0" w:after="0" w:line="288" w:lineRule="auto"/>
        <w:ind w:firstLine="0"/>
        <w:jc w:val="left"/>
      </w:pPr>
      <w:r>
        <w:rPr>
          <w:rFonts w:ascii="Consolas" w:hAnsi="Consolas" w:eastAsia="Consolas"/>
          <w:sz w:val="20"/>
        </w:rPr>
        <w:t xml:space="preserve">    lasso_scores = cross_val_score(lasso, X_scaled, y, cv=10, scoring='r2')</w:t>
      </w:r>
    </w:p>
    <w:sectPr>
      <w:footerReference r:id="rId5" w:type="default"/>
      <w:pgSz w:w="11906" w:h="16838"/>
      <w:pgMar w:top="1417" w:right="1417" w:bottom="1417" w:left="1417" w:header="720" w:footer="720" w:gutter="0"/>
      <w:pgNumType w:start="1"/>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auto"/>
    <w:pitch w:val="default"/>
    <w:sig w:usb0="E00006FF" w:usb1="420024FF" w:usb2="02000000" w:usb3="00000000" w:csb0="2000019F" w:csb1="00000000"/>
  </w:font>
  <w:font w:name="ＭＳ 明朝">
    <w:altName w:val="Yu Gothic"/>
    <w:panose1 w:val="00000000000000000000"/>
    <w:charset w:val="80"/>
    <w:family w:val="roman"/>
    <w:pitch w:val="default"/>
    <w:sig w:usb0="00000000" w:usb1="00000000" w:usb2="00000010" w:usb3="00000000" w:csb0="00020000" w:csb1="00000000"/>
  </w:font>
  <w:font w:name="ＭＳ 明朝">
    <w:altName w:val="宋体"/>
    <w:panose1 w:val="00000000000000000000"/>
    <w:charset w:val="86"/>
    <w:family w:val="auto"/>
    <w:pitch w:val="default"/>
    <w:sig w:usb0="00000000" w:usb1="00000000" w:usb2="00000000" w:usb3="00000000" w:csb0="00000000" w:csb1="00000000"/>
  </w:font>
  <w:font w:name="MS Gothic">
    <w:panose1 w:val="020B0609070205080204"/>
    <w:charset w:val="80"/>
    <w:family w:val="modern"/>
    <w:pitch w:val="default"/>
    <w:sig w:usb0="E00002FF" w:usb1="6AC7FDFB" w:usb2="08000012" w:usb3="00000000" w:csb0="4002009F" w:csb1="DFD70000"/>
  </w:font>
  <w:font w:name="Courier">
    <w:altName w:val="Courier New"/>
    <w:panose1 w:val="02000500000000000000"/>
    <w:charset w:val="00"/>
    <w:family w:val="auto"/>
    <w:pitch w:val="default"/>
    <w:sig w:usb0="00000000" w:usb1="00000000" w:usb2="00000000" w:usb3="00000000" w:csb0="00000001" w:csb1="00000000"/>
  </w:font>
  <w:font w:name="Cambria Math">
    <w:panose1 w:val="02040503050406030204"/>
    <w:charset w:val="00"/>
    <w:family w:val="auto"/>
    <w:pitch w:val="default"/>
    <w:sig w:usb0="E00006FF" w:usb1="420024FF" w:usb2="02000000" w:usb3="00000000" w:csb0="2000019F" w:csb1="00000000"/>
  </w:font>
  <w:font w:name="Consolas">
    <w:panose1 w:val="020B0609020204030204"/>
    <w:charset w:val="00"/>
    <w:family w:val="auto"/>
    <w:pitch w:val="default"/>
    <w:sig w:usb0="E00006FF" w:usb1="0000FCFF" w:usb2="00000001" w:usb3="00000000" w:csb0="6000019F" w:csb1="DFD70000"/>
  </w:font>
  <w:font w:name="ＭＳ 明朝">
    <w:altName w:val="ESRI AMFM Electric"/>
    <w:panose1 w:val="00000000000000000000"/>
    <w:charset w:val="00"/>
    <w:family w:val="auto"/>
    <w:pitch w:val="default"/>
    <w:sig w:usb0="00000000" w:usb1="00000000" w:usb2="00000000" w:usb3="00000000" w:csb0="00000000" w:csb1="00000000"/>
  </w:font>
  <w:font w:name="ESRI AMFM Electric">
    <w:panose1 w:val="02000400000000000000"/>
    <w:charset w:val="00"/>
    <w:family w:val="auto"/>
    <w:pitch w:val="default"/>
    <w:sig w:usb0="00000003" w:usb1="00000000" w:usb2="00000000" w:usb3="00000000" w:csb0="0000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2C4DFF">
    <w:pPr>
      <w:pStyle w:val="24"/>
      <w:jc w:val="center"/>
    </w:pPr>
    <w:r>
      <w:fldChar w:fldCharType="begin"/>
    </w:r>
    <w:r>
      <w:rPr>
        <w:rFonts w:ascii="Times New Roman" w:hAnsi="Times New Roman"/>
        <w:sz w:val="21"/>
      </w:rPr>
      <w:instrText xml:space="preserve"> PAGE </w:instrTex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E"/>
    <w:multiLevelType w:val="singleLevel"/>
    <w:tmpl w:val="FFFFFF7E"/>
    <w:lvl w:ilvl="0" w:tentative="0">
      <w:start w:val="1"/>
      <w:numFmt w:val="decimal"/>
      <w:pStyle w:val="20"/>
      <w:lvlText w:val="%1."/>
      <w:lvlJc w:val="left"/>
      <w:pPr>
        <w:tabs>
          <w:tab w:val="left" w:pos="1080"/>
        </w:tabs>
        <w:ind w:left="1080" w:hanging="360"/>
      </w:pPr>
    </w:lvl>
  </w:abstractNum>
  <w:abstractNum w:abstractNumId="1">
    <w:nsid w:val="FFFFFF7F"/>
    <w:multiLevelType w:val="singleLevel"/>
    <w:tmpl w:val="FFFFFF7F"/>
    <w:lvl w:ilvl="0" w:tentative="0">
      <w:start w:val="1"/>
      <w:numFmt w:val="decimal"/>
      <w:pStyle w:val="13"/>
      <w:lvlText w:val="%1."/>
      <w:lvlJc w:val="left"/>
      <w:pPr>
        <w:tabs>
          <w:tab w:val="left" w:pos="720"/>
        </w:tabs>
        <w:ind w:left="720" w:hanging="360"/>
      </w:pPr>
    </w:lvl>
  </w:abstractNum>
  <w:abstractNum w:abstractNumId="2">
    <w:nsid w:val="FFFFFF82"/>
    <w:multiLevelType w:val="singleLevel"/>
    <w:tmpl w:val="FFFFFF82"/>
    <w:lvl w:ilvl="0" w:tentative="0">
      <w:start w:val="1"/>
      <w:numFmt w:val="bullet"/>
      <w:pStyle w:val="18"/>
      <w:lvlText w:val=""/>
      <w:lvlJc w:val="left"/>
      <w:pPr>
        <w:tabs>
          <w:tab w:val="left" w:pos="1080"/>
        </w:tabs>
        <w:ind w:left="1080" w:hanging="360"/>
      </w:pPr>
      <w:rPr>
        <w:rFonts w:hint="default" w:ascii="Symbol" w:hAnsi="Symbol"/>
      </w:rPr>
    </w:lvl>
  </w:abstractNum>
  <w:abstractNum w:abstractNumId="3">
    <w:nsid w:val="FFFFFF83"/>
    <w:multiLevelType w:val="singleLevel"/>
    <w:tmpl w:val="FFFFFF83"/>
    <w:lvl w:ilvl="0" w:tentative="0">
      <w:start w:val="1"/>
      <w:numFmt w:val="bullet"/>
      <w:pStyle w:val="23"/>
      <w:lvlText w:val=""/>
      <w:lvlJc w:val="left"/>
      <w:pPr>
        <w:tabs>
          <w:tab w:val="left" w:pos="720"/>
        </w:tabs>
        <w:ind w:left="720" w:hanging="360"/>
      </w:pPr>
      <w:rPr>
        <w:rFonts w:hint="default" w:ascii="Symbol" w:hAnsi="Symbol"/>
      </w:rPr>
    </w:lvl>
  </w:abstractNum>
  <w:abstractNum w:abstractNumId="4">
    <w:nsid w:val="FFFFFF88"/>
    <w:multiLevelType w:val="singleLevel"/>
    <w:tmpl w:val="FFFFFF88"/>
    <w:lvl w:ilvl="0" w:tentative="0">
      <w:start w:val="1"/>
      <w:numFmt w:val="decimal"/>
      <w:pStyle w:val="14"/>
      <w:lvlText w:val="%1."/>
      <w:lvlJc w:val="left"/>
      <w:pPr>
        <w:tabs>
          <w:tab w:val="left" w:pos="360"/>
        </w:tabs>
        <w:ind w:left="360" w:hanging="360"/>
      </w:pPr>
    </w:lvl>
  </w:abstractNum>
  <w:abstractNum w:abstractNumId="5">
    <w:nsid w:val="FFFFFF89"/>
    <w:multiLevelType w:val="singleLevel"/>
    <w:tmpl w:val="FFFFFF89"/>
    <w:lvl w:ilvl="0" w:tentative="0">
      <w:start w:val="1"/>
      <w:numFmt w:val="bullet"/>
      <w:pStyle w:val="16"/>
      <w:lvlText w:val=""/>
      <w:lvlJc w:val="left"/>
      <w:pPr>
        <w:tabs>
          <w:tab w:val="left" w:pos="360"/>
        </w:tabs>
        <w:ind w:left="360" w:hanging="360"/>
      </w:pPr>
      <w:rPr>
        <w:rFonts w:hint="default" w:ascii="Symbol" w:hAnsi="Symbol"/>
      </w:rPr>
    </w:lvl>
  </w:abstractNum>
  <w:num w:numId="1">
    <w:abstractNumId w:val="1"/>
  </w:num>
  <w:num w:numId="2">
    <w:abstractNumId w:val="4"/>
  </w:num>
  <w:num w:numId="3">
    <w:abstractNumId w:val="5"/>
  </w:num>
  <w:num w:numId="4">
    <w:abstractNumId w:val="2"/>
  </w:num>
  <w:num w:numId="5">
    <w:abstractNumId w:val="0"/>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cumentProtection w:enforcement="0"/>
  <w:defaultTabStop w:val="720"/>
  <w:characterSpacingControl w:val="doNotCompress"/>
  <w:footnotePr>
    <w:footnote w:id="0"/>
    <w:footnote w:id="1"/>
  </w:footnotePr>
  <w:endnotePr>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 w:val="348F70BD"/>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ja-JP"/>
  <w:clrSchemeMapping w:bg1="light1" w:t1="dark1" w:bg2="light2" w:t2="dark2" w:accent1="accent1" w:accent2="accent2" w:accent3="accent3" w:accent4="accent4" w:accent5="accent5" w:accent6="accent6" w:hyperlink="hyperlink" w:followedHyperlink="followedHyperlink"/>
  <w14:defaultImageDpi w14:val="300"/>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qFormat="1" w:uiPriority="99" w:semiHidden="0" w:name="macro"/>
    <w:lsdException w:uiPriority="99" w:name="toa heading"/>
    <w:lsdException w:uiPriority="99" w:semiHidden="0" w:name="List"/>
    <w:lsdException w:qFormat="1" w:uiPriority="99" w:semiHidden="0" w:name="List Bullet"/>
    <w:lsdException w:qFormat="1" w:uiPriority="99" w:semiHidden="0" w:name="List Number"/>
    <w:lsdException w:uiPriority="99" w:semiHidden="0" w:name="List 2"/>
    <w:lsdException w:qFormat="1" w:uiPriority="99" w:semiHidden="0" w:name="List 3"/>
    <w:lsdException w:uiPriority="99" w:name="List 4"/>
    <w:lsdException w:uiPriority="99" w:name="List 5"/>
    <w:lsdException w:qFormat="1" w:uiPriority="99" w:semiHidden="0" w:name="List Bullet 2"/>
    <w:lsdException w:uiPriority="99" w:semiHidden="0" w:name="List Bullet 3"/>
    <w:lsdException w:uiPriority="99" w:name="List Bullet 4"/>
    <w:lsdException w:uiPriority="99" w:name="List Bullet 5"/>
    <w:lsdException w:qFormat="1" w:uiPriority="99" w:semiHidden="0" w:name="List Number 2"/>
    <w:lsdException w:qFormat="1" w:uiPriority="99" w:semiHidden="0"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semiHidden="0" w:name="Body Text"/>
    <w:lsdException w:uiPriority="99" w:name="Body Text Indent"/>
    <w:lsdException w:qFormat="1" w:uiPriority="99" w:semiHidden="0" w:name="List Continue"/>
    <w:lsdException w:qFormat="1" w:uiPriority="99" w:semiHidden="0" w:name="List Continue 2"/>
    <w:lsdException w:qFormat="1" w:uiPriority="99" w:semiHidden="0"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qFormat="1" w:uiPriority="99" w:semiHidden="0" w:name="Body Text 2"/>
    <w:lsdException w:qFormat="1" w:uiPriority="99" w:semiHidden="0"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qFormat="1"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qFormat="1" w:unhideWhenUsed="0" w:uiPriority="72" w:semiHidden="0" w:name="Colorful List Accent 1"/>
    <w:lsdException w:unhideWhenUsed="0" w:uiPriority="73" w:semiHidden="0" w:name="Colorful Grid Accent 1"/>
    <w:lsdException w:qFormat="1"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qFormat="1" w:unhideWhenUsed="0" w:uiPriority="71" w:semiHidden="0" w:name="Colorful Shading Accent 2"/>
    <w:lsdException w:unhideWhenUsed="0" w:uiPriority="72" w:semiHidden="0" w:name="Colorful List Accent 2"/>
    <w:lsdException w:qFormat="1"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qFormat="1"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qFormat="1" w:unhideWhenUsed="0" w:uiPriority="67" w:semiHidden="0" w:name="Medium Grid 1 Accent 5"/>
    <w:lsdException w:unhideWhenUsed="0" w:uiPriority="68" w:semiHidden="0" w:name="Medium Grid 2 Accent 5"/>
    <w:lsdException w:qFormat="1"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qFormat="1" w:unhideWhenUsed="0" w:uiPriority="60" w:semiHidden="0" w:name="Light Shading Accent 6"/>
    <w:lsdException w:qFormat="1" w:unhideWhenUsed="0" w:uiPriority="61" w:semiHidden="0" w:name="Light List Accent 6"/>
    <w:lsdException w:unhideWhenUsed="0" w:uiPriority="62" w:semiHidden="0" w:name="Light Grid Accent 6"/>
    <w:lsdException w:unhideWhenUsed="0" w:uiPriority="63" w:semiHidden="0" w:name="Medium Shading 1 Accent 6"/>
    <w:lsdException w:qFormat="1"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heme="minorHAnsi" w:hAnsiTheme="minorHAnsi" w:eastAsiaTheme="minorEastAsia" w:cstheme="minorBidi"/>
      <w:sz w:val="22"/>
      <w:szCs w:val="22"/>
      <w:lang w:val="en-US" w:eastAsia="en-US" w:bidi="ar-SA"/>
    </w:rPr>
  </w:style>
  <w:style w:type="paragraph" w:styleId="3">
    <w:name w:val="heading 1"/>
    <w:basedOn w:val="1"/>
    <w:next w:val="1"/>
    <w:link w:val="138"/>
    <w:qFormat/>
    <w:uiPriority w:val="9"/>
    <w:pPr>
      <w:keepNext/>
      <w:keepLines/>
      <w:spacing w:before="480" w:after="0"/>
      <w:outlineLvl w:val="0"/>
    </w:pPr>
    <w:rPr>
      <w:rFonts w:asciiTheme="majorHAnsi" w:hAnsiTheme="majorHAnsi" w:eastAsiaTheme="majorEastAsia" w:cstheme="majorBidi"/>
      <w:b/>
      <w:bCs/>
      <w:color w:val="376092" w:themeColor="accent1" w:themeShade="BF"/>
      <w:sz w:val="28"/>
      <w:szCs w:val="28"/>
    </w:rPr>
  </w:style>
  <w:style w:type="paragraph" w:styleId="4">
    <w:name w:val="heading 2"/>
    <w:basedOn w:val="1"/>
    <w:next w:val="1"/>
    <w:link w:val="139"/>
    <w:unhideWhenUsed/>
    <w:qFormat/>
    <w:uiPriority w:val="9"/>
    <w:pPr>
      <w:keepNext/>
      <w:keepLines/>
      <w:spacing w:before="200" w:after="0"/>
      <w:outlineLvl w:val="1"/>
    </w:pPr>
    <w:rPr>
      <w:rFonts w:asciiTheme="majorHAnsi" w:hAnsiTheme="majorHAnsi" w:eastAsiaTheme="majorEastAsia" w:cstheme="majorBidi"/>
      <w:b/>
      <w:bCs/>
      <w:color w:val="4F81BD" w:themeColor="accent1"/>
      <w:sz w:val="26"/>
      <w:szCs w:val="26"/>
      <w14:textFill>
        <w14:solidFill>
          <w14:schemeClr w14:val="accent1"/>
        </w14:solidFill>
      </w14:textFill>
    </w:rPr>
  </w:style>
  <w:style w:type="paragraph" w:styleId="5">
    <w:name w:val="heading 3"/>
    <w:basedOn w:val="1"/>
    <w:next w:val="1"/>
    <w:link w:val="140"/>
    <w:unhideWhenUsed/>
    <w:qFormat/>
    <w:uiPriority w:val="9"/>
    <w:pPr>
      <w:keepNext/>
      <w:keepLines/>
      <w:spacing w:before="200" w:after="0"/>
      <w:outlineLvl w:val="2"/>
    </w:pPr>
    <w:rPr>
      <w:rFonts w:asciiTheme="majorHAnsi" w:hAnsiTheme="majorHAnsi" w:eastAsiaTheme="majorEastAsia" w:cstheme="majorBidi"/>
      <w:b/>
      <w:bCs/>
      <w:color w:val="4F81BD" w:themeColor="accent1"/>
      <w14:textFill>
        <w14:solidFill>
          <w14:schemeClr w14:val="accent1"/>
        </w14:solidFill>
      </w14:textFill>
    </w:rPr>
  </w:style>
  <w:style w:type="paragraph" w:styleId="6">
    <w:name w:val="heading 4"/>
    <w:basedOn w:val="1"/>
    <w:next w:val="1"/>
    <w:link w:val="150"/>
    <w:semiHidden/>
    <w:unhideWhenUsed/>
    <w:qFormat/>
    <w:uiPriority w:val="9"/>
    <w:pPr>
      <w:keepNext/>
      <w:keepLines/>
      <w:spacing w:before="200" w:after="0"/>
      <w:outlineLvl w:val="3"/>
    </w:pPr>
    <w:rPr>
      <w:rFonts w:asciiTheme="majorHAnsi" w:hAnsiTheme="majorHAnsi" w:eastAsiaTheme="majorEastAsia" w:cstheme="majorBidi"/>
      <w:b/>
      <w:bCs/>
      <w:i/>
      <w:iCs/>
      <w:color w:val="4F81BD" w:themeColor="accent1"/>
      <w14:textFill>
        <w14:solidFill>
          <w14:schemeClr w14:val="accent1"/>
        </w14:solidFill>
      </w14:textFill>
    </w:rPr>
  </w:style>
  <w:style w:type="paragraph" w:styleId="7">
    <w:name w:val="heading 5"/>
    <w:basedOn w:val="1"/>
    <w:next w:val="1"/>
    <w:link w:val="151"/>
    <w:semiHidden/>
    <w:unhideWhenUsed/>
    <w:qFormat/>
    <w:uiPriority w:val="9"/>
    <w:pPr>
      <w:keepNext/>
      <w:keepLines/>
      <w:spacing w:before="200" w:after="0"/>
      <w:outlineLvl w:val="4"/>
    </w:pPr>
    <w:rPr>
      <w:rFonts w:asciiTheme="majorHAnsi" w:hAnsiTheme="majorHAnsi" w:eastAsiaTheme="majorEastAsia" w:cstheme="majorBidi"/>
      <w:color w:val="254061" w:themeColor="accent1" w:themeShade="80"/>
    </w:rPr>
  </w:style>
  <w:style w:type="paragraph" w:styleId="8">
    <w:name w:val="heading 6"/>
    <w:basedOn w:val="1"/>
    <w:next w:val="1"/>
    <w:link w:val="152"/>
    <w:semiHidden/>
    <w:unhideWhenUsed/>
    <w:qFormat/>
    <w:uiPriority w:val="9"/>
    <w:pPr>
      <w:keepNext/>
      <w:keepLines/>
      <w:spacing w:before="200" w:after="0"/>
      <w:outlineLvl w:val="5"/>
    </w:pPr>
    <w:rPr>
      <w:rFonts w:asciiTheme="majorHAnsi" w:hAnsiTheme="majorHAnsi" w:eastAsiaTheme="majorEastAsia" w:cstheme="majorBidi"/>
      <w:i/>
      <w:iCs/>
      <w:color w:val="254061" w:themeColor="accent1" w:themeShade="80"/>
    </w:rPr>
  </w:style>
  <w:style w:type="paragraph" w:styleId="9">
    <w:name w:val="heading 7"/>
    <w:basedOn w:val="1"/>
    <w:next w:val="1"/>
    <w:link w:val="153"/>
    <w:semiHidden/>
    <w:unhideWhenUsed/>
    <w:qFormat/>
    <w:uiPriority w:val="9"/>
    <w:pPr>
      <w:keepNext/>
      <w:keepLines/>
      <w:spacing w:before="200" w:after="0"/>
      <w:outlineLvl w:val="6"/>
    </w:pPr>
    <w:rPr>
      <w:rFonts w:asciiTheme="majorHAnsi" w:hAnsiTheme="majorHAnsi" w:eastAsiaTheme="majorEastAsia" w:cstheme="majorBidi"/>
      <w:i/>
      <w:iCs/>
      <w:color w:val="404040" w:themeColor="text1" w:themeTint="BF"/>
      <w14:textFill>
        <w14:solidFill>
          <w14:schemeClr w14:val="tx1">
            <w14:lumMod w14:val="75000"/>
            <w14:lumOff w14:val="25000"/>
          </w14:schemeClr>
        </w14:solidFill>
      </w14:textFill>
    </w:rPr>
  </w:style>
  <w:style w:type="paragraph" w:styleId="10">
    <w:name w:val="heading 8"/>
    <w:basedOn w:val="1"/>
    <w:next w:val="1"/>
    <w:link w:val="154"/>
    <w:semiHidden/>
    <w:unhideWhenUsed/>
    <w:qFormat/>
    <w:uiPriority w:val="9"/>
    <w:pPr>
      <w:keepNext/>
      <w:keepLines/>
      <w:spacing w:before="200" w:after="0"/>
      <w:outlineLvl w:val="7"/>
    </w:pPr>
    <w:rPr>
      <w:rFonts w:asciiTheme="majorHAnsi" w:hAnsiTheme="majorHAnsi" w:eastAsiaTheme="majorEastAsia" w:cstheme="majorBidi"/>
      <w:color w:val="4F81BD" w:themeColor="accent1"/>
      <w:sz w:val="20"/>
      <w:szCs w:val="20"/>
      <w14:textFill>
        <w14:solidFill>
          <w14:schemeClr w14:val="accent1"/>
        </w14:solidFill>
      </w14:textFill>
    </w:rPr>
  </w:style>
  <w:style w:type="paragraph" w:styleId="11">
    <w:name w:val="heading 9"/>
    <w:basedOn w:val="1"/>
    <w:next w:val="1"/>
    <w:link w:val="155"/>
    <w:semiHidden/>
    <w:unhideWhenUsed/>
    <w:qFormat/>
    <w:uiPriority w:val="9"/>
    <w:pPr>
      <w:keepNext/>
      <w:keepLines/>
      <w:spacing w:before="200" w:after="0"/>
      <w:outlineLvl w:val="8"/>
    </w:pPr>
    <w:rPr>
      <w:rFonts w:asciiTheme="majorHAnsi" w:hAnsiTheme="majorHAnsi" w:eastAsiaTheme="majorEastAsia" w:cstheme="majorBidi"/>
      <w:i/>
      <w:iCs/>
      <w:color w:val="404040" w:themeColor="text1" w:themeTint="BF"/>
      <w:sz w:val="20"/>
      <w:szCs w:val="20"/>
      <w14:textFill>
        <w14:solidFill>
          <w14:schemeClr w14:val="tx1">
            <w14:lumMod w14:val="75000"/>
            <w14:lumOff w14:val="25000"/>
          </w14:schemeClr>
        </w14:solidFill>
      </w14:textFill>
    </w:rPr>
  </w:style>
  <w:style w:type="character" w:default="1" w:styleId="132">
    <w:name w:val="Default Paragraph Font"/>
    <w:semiHidden/>
    <w:unhideWhenUsed/>
    <w:uiPriority w:val="1"/>
  </w:style>
  <w:style w:type="table" w:default="1" w:styleId="32">
    <w:name w:val="Normal Table"/>
    <w:semiHidden/>
    <w:unhideWhenUsed/>
    <w:uiPriority w:val="99"/>
    <w:tblPr>
      <w:tblCellMar>
        <w:top w:w="0" w:type="dxa"/>
        <w:left w:w="108" w:type="dxa"/>
        <w:bottom w:w="0" w:type="dxa"/>
        <w:right w:w="108" w:type="dxa"/>
      </w:tblCellMar>
    </w:tblPr>
  </w:style>
  <w:style w:type="paragraph" w:styleId="2">
    <w:name w:val="macro"/>
    <w:link w:val="147"/>
    <w:unhideWhenUsed/>
    <w:qFormat/>
    <w:uiPriority w:val="99"/>
    <w:pPr>
      <w:tabs>
        <w:tab w:val="left" w:pos="576"/>
        <w:tab w:val="left" w:pos="1152"/>
        <w:tab w:val="left" w:pos="1728"/>
        <w:tab w:val="left" w:pos="2304"/>
        <w:tab w:val="left" w:pos="2880"/>
        <w:tab w:val="left" w:pos="3456"/>
        <w:tab w:val="left" w:pos="4032"/>
      </w:tabs>
      <w:spacing w:after="200" w:line="276" w:lineRule="auto"/>
    </w:pPr>
    <w:rPr>
      <w:rFonts w:ascii="Courier" w:hAnsi="Courier" w:eastAsiaTheme="minorEastAsia" w:cstheme="minorBidi"/>
      <w:sz w:val="20"/>
      <w:szCs w:val="20"/>
      <w:lang w:val="en-US" w:eastAsia="en-US" w:bidi="ar-SA"/>
    </w:rPr>
  </w:style>
  <w:style w:type="paragraph" w:styleId="12">
    <w:name w:val="List 3"/>
    <w:basedOn w:val="1"/>
    <w:unhideWhenUsed/>
    <w:qFormat/>
    <w:uiPriority w:val="99"/>
    <w:pPr>
      <w:ind w:left="1080" w:hanging="360"/>
      <w:contextualSpacing/>
    </w:pPr>
  </w:style>
  <w:style w:type="paragraph" w:styleId="13">
    <w:name w:val="List Number 2"/>
    <w:basedOn w:val="1"/>
    <w:unhideWhenUsed/>
    <w:qFormat/>
    <w:uiPriority w:val="99"/>
    <w:pPr>
      <w:numPr>
        <w:ilvl w:val="0"/>
        <w:numId w:val="1"/>
      </w:numPr>
      <w:contextualSpacing/>
    </w:pPr>
  </w:style>
  <w:style w:type="paragraph" w:styleId="14">
    <w:name w:val="List Number"/>
    <w:basedOn w:val="1"/>
    <w:unhideWhenUsed/>
    <w:qFormat/>
    <w:uiPriority w:val="99"/>
    <w:pPr>
      <w:numPr>
        <w:ilvl w:val="0"/>
        <w:numId w:val="2"/>
      </w:numPr>
      <w:contextualSpacing/>
    </w:pPr>
  </w:style>
  <w:style w:type="paragraph" w:styleId="15">
    <w:name w:val="caption"/>
    <w:basedOn w:val="1"/>
    <w:next w:val="1"/>
    <w:semiHidden/>
    <w:unhideWhenUsed/>
    <w:qFormat/>
    <w:uiPriority w:val="35"/>
    <w:pPr>
      <w:spacing w:line="240" w:lineRule="auto"/>
    </w:pPr>
    <w:rPr>
      <w:b/>
      <w:bCs/>
      <w:color w:val="4F81BD" w:themeColor="accent1"/>
      <w:sz w:val="18"/>
      <w:szCs w:val="18"/>
      <w14:textFill>
        <w14:solidFill>
          <w14:schemeClr w14:val="accent1"/>
        </w14:solidFill>
      </w14:textFill>
    </w:rPr>
  </w:style>
  <w:style w:type="paragraph" w:styleId="16">
    <w:name w:val="List Bullet"/>
    <w:basedOn w:val="1"/>
    <w:unhideWhenUsed/>
    <w:qFormat/>
    <w:uiPriority w:val="99"/>
    <w:pPr>
      <w:numPr>
        <w:ilvl w:val="0"/>
        <w:numId w:val="3"/>
      </w:numPr>
      <w:contextualSpacing/>
    </w:pPr>
  </w:style>
  <w:style w:type="paragraph" w:styleId="17">
    <w:name w:val="Body Text 3"/>
    <w:basedOn w:val="1"/>
    <w:link w:val="146"/>
    <w:unhideWhenUsed/>
    <w:qFormat/>
    <w:uiPriority w:val="99"/>
    <w:pPr>
      <w:spacing w:after="120"/>
    </w:pPr>
    <w:rPr>
      <w:sz w:val="16"/>
      <w:szCs w:val="16"/>
    </w:rPr>
  </w:style>
  <w:style w:type="paragraph" w:styleId="18">
    <w:name w:val="List Bullet 3"/>
    <w:basedOn w:val="1"/>
    <w:unhideWhenUsed/>
    <w:uiPriority w:val="99"/>
    <w:pPr>
      <w:numPr>
        <w:ilvl w:val="0"/>
        <w:numId w:val="4"/>
      </w:numPr>
      <w:contextualSpacing/>
    </w:pPr>
  </w:style>
  <w:style w:type="paragraph" w:styleId="19">
    <w:name w:val="Body Text"/>
    <w:basedOn w:val="1"/>
    <w:link w:val="144"/>
    <w:unhideWhenUsed/>
    <w:uiPriority w:val="99"/>
    <w:pPr>
      <w:spacing w:after="120"/>
    </w:pPr>
  </w:style>
  <w:style w:type="paragraph" w:styleId="20">
    <w:name w:val="List Number 3"/>
    <w:basedOn w:val="1"/>
    <w:unhideWhenUsed/>
    <w:qFormat/>
    <w:uiPriority w:val="99"/>
    <w:pPr>
      <w:numPr>
        <w:ilvl w:val="0"/>
        <w:numId w:val="5"/>
      </w:numPr>
      <w:contextualSpacing/>
    </w:pPr>
  </w:style>
  <w:style w:type="paragraph" w:styleId="21">
    <w:name w:val="List 2"/>
    <w:basedOn w:val="1"/>
    <w:unhideWhenUsed/>
    <w:uiPriority w:val="99"/>
    <w:pPr>
      <w:ind w:left="720" w:hanging="360"/>
      <w:contextualSpacing/>
    </w:pPr>
  </w:style>
  <w:style w:type="paragraph" w:styleId="22">
    <w:name w:val="List Continue"/>
    <w:basedOn w:val="1"/>
    <w:unhideWhenUsed/>
    <w:qFormat/>
    <w:uiPriority w:val="99"/>
    <w:pPr>
      <w:spacing w:after="120"/>
      <w:ind w:left="360"/>
      <w:contextualSpacing/>
    </w:pPr>
  </w:style>
  <w:style w:type="paragraph" w:styleId="23">
    <w:name w:val="List Bullet 2"/>
    <w:basedOn w:val="1"/>
    <w:unhideWhenUsed/>
    <w:qFormat/>
    <w:uiPriority w:val="99"/>
    <w:pPr>
      <w:numPr>
        <w:ilvl w:val="0"/>
        <w:numId w:val="6"/>
      </w:numPr>
      <w:contextualSpacing/>
    </w:pPr>
  </w:style>
  <w:style w:type="paragraph" w:styleId="24">
    <w:name w:val="footer"/>
    <w:basedOn w:val="1"/>
    <w:link w:val="136"/>
    <w:unhideWhenUsed/>
    <w:qFormat/>
    <w:uiPriority w:val="99"/>
    <w:pPr>
      <w:tabs>
        <w:tab w:val="center" w:pos="4680"/>
        <w:tab w:val="right" w:pos="9360"/>
      </w:tabs>
      <w:spacing w:after="0" w:line="240" w:lineRule="auto"/>
    </w:pPr>
  </w:style>
  <w:style w:type="paragraph" w:styleId="25">
    <w:name w:val="header"/>
    <w:basedOn w:val="1"/>
    <w:link w:val="135"/>
    <w:unhideWhenUsed/>
    <w:qFormat/>
    <w:uiPriority w:val="99"/>
    <w:pPr>
      <w:tabs>
        <w:tab w:val="center" w:pos="4680"/>
        <w:tab w:val="right" w:pos="9360"/>
      </w:tabs>
      <w:spacing w:after="0" w:line="240" w:lineRule="auto"/>
    </w:pPr>
  </w:style>
  <w:style w:type="paragraph" w:styleId="26">
    <w:name w:val="Subtitle"/>
    <w:basedOn w:val="1"/>
    <w:next w:val="1"/>
    <w:link w:val="142"/>
    <w:qFormat/>
    <w:uiPriority w:val="11"/>
    <w:rPr>
      <w:rFonts w:asciiTheme="majorHAnsi" w:hAnsiTheme="majorHAnsi" w:eastAsiaTheme="majorEastAsia" w:cstheme="majorBidi"/>
      <w:i/>
      <w:iCs/>
      <w:color w:val="4F81BD" w:themeColor="accent1"/>
      <w:spacing w:val="15"/>
      <w:sz w:val="24"/>
      <w:szCs w:val="24"/>
      <w14:textFill>
        <w14:solidFill>
          <w14:schemeClr w14:val="accent1"/>
        </w14:solidFill>
      </w14:textFill>
    </w:rPr>
  </w:style>
  <w:style w:type="paragraph" w:styleId="27">
    <w:name w:val="List"/>
    <w:basedOn w:val="1"/>
    <w:unhideWhenUsed/>
    <w:uiPriority w:val="99"/>
    <w:pPr>
      <w:ind w:left="360" w:hanging="360"/>
      <w:contextualSpacing/>
    </w:pPr>
  </w:style>
  <w:style w:type="paragraph" w:styleId="28">
    <w:name w:val="Body Text 2"/>
    <w:basedOn w:val="1"/>
    <w:link w:val="145"/>
    <w:unhideWhenUsed/>
    <w:qFormat/>
    <w:uiPriority w:val="99"/>
    <w:pPr>
      <w:spacing w:after="120" w:line="480" w:lineRule="auto"/>
    </w:pPr>
  </w:style>
  <w:style w:type="paragraph" w:styleId="29">
    <w:name w:val="List Continue 2"/>
    <w:basedOn w:val="1"/>
    <w:unhideWhenUsed/>
    <w:qFormat/>
    <w:uiPriority w:val="99"/>
    <w:pPr>
      <w:spacing w:after="120"/>
      <w:ind w:left="720"/>
      <w:contextualSpacing/>
    </w:pPr>
  </w:style>
  <w:style w:type="paragraph" w:styleId="30">
    <w:name w:val="List Continue 3"/>
    <w:basedOn w:val="1"/>
    <w:unhideWhenUsed/>
    <w:qFormat/>
    <w:uiPriority w:val="99"/>
    <w:pPr>
      <w:spacing w:after="120"/>
      <w:ind w:left="1080"/>
      <w:contextualSpacing/>
    </w:pPr>
  </w:style>
  <w:style w:type="paragraph" w:styleId="31">
    <w:name w:val="Title"/>
    <w:basedOn w:val="1"/>
    <w:next w:val="1"/>
    <w:link w:val="141"/>
    <w:qFormat/>
    <w:uiPriority w:val="10"/>
    <w:pPr>
      <w:pBdr>
        <w:bottom w:val="single" w:color="4F81BD" w:themeColor="accent1" w:sz="8" w:space="4"/>
      </w:pBdr>
      <w:spacing w:after="300" w:line="240" w:lineRule="auto"/>
      <w:contextualSpacing/>
    </w:pPr>
    <w:rPr>
      <w:rFonts w:asciiTheme="majorHAnsi" w:hAnsiTheme="majorHAnsi" w:eastAsiaTheme="majorEastAsia" w:cstheme="majorBidi"/>
      <w:color w:val="17375E" w:themeColor="text2" w:themeShade="BF"/>
      <w:spacing w:val="5"/>
      <w:kern w:val="28"/>
      <w:sz w:val="52"/>
      <w:szCs w:val="52"/>
    </w:rPr>
  </w:style>
  <w:style w:type="table" w:styleId="33">
    <w:name w:val="Table Grid"/>
    <w:basedOn w:val="32"/>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34">
    <w:name w:val="Light Shading"/>
    <w:basedOn w:val="32"/>
    <w:uiPriority w:val="60"/>
    <w:pPr>
      <w:spacing w:after="0" w:line="240" w:lineRule="auto"/>
    </w:pPr>
    <w:rPr>
      <w:color w:val="000000" w:themeColor="text1" w:themeShade="BF"/>
    </w:rPr>
    <w:tblPr>
      <w:tblBorders>
        <w:top w:val="single" w:color="000000" w:themeColor="text1" w:sz="8" w:space="0"/>
        <w:bottom w:val="single" w:color="000000" w:themeColor="text1"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FBFBF" w:themeFill="text1" w:themeFillTint="3F"/>
      </w:tcPr>
    </w:tblStylePr>
    <w:tblStylePr w:type="band1Horz">
      <w:tblPr/>
      <w:tcPr>
        <w:tcBorders>
          <w:left w:val="nil"/>
          <w:right w:val="nil"/>
          <w:insideH w:val="nil"/>
          <w:insideV w:val="nil"/>
        </w:tcBorders>
        <w:shd w:val="clear" w:color="auto" w:fill="BFBFBF" w:themeFill="text1" w:themeFillTint="3F"/>
      </w:tcPr>
    </w:tblStylePr>
  </w:style>
  <w:style w:type="table" w:styleId="35">
    <w:name w:val="Light Shading Accent 1"/>
    <w:basedOn w:val="32"/>
    <w:uiPriority w:val="60"/>
    <w:pPr>
      <w:spacing w:after="0" w:line="240" w:lineRule="auto"/>
    </w:pPr>
    <w:rPr>
      <w:color w:val="376092" w:themeColor="accent1" w:themeShade="BF"/>
    </w:rPr>
    <w:tblPr>
      <w:tblBorders>
        <w:top w:val="single" w:color="4F81BD" w:themeColor="accent1" w:sz="8" w:space="0"/>
        <w:bottom w:val="single" w:color="4F81BD" w:themeColor="accent1"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36">
    <w:name w:val="Light Shading Accent 2"/>
    <w:basedOn w:val="32"/>
    <w:qFormat/>
    <w:uiPriority w:val="60"/>
    <w:pPr>
      <w:spacing w:after="0" w:line="240" w:lineRule="auto"/>
    </w:pPr>
    <w:rPr>
      <w:color w:val="953735" w:themeColor="accent2" w:themeShade="BF"/>
    </w:rPr>
    <w:tblPr>
      <w:tblBorders>
        <w:top w:val="single" w:color="C0504D" w:themeColor="accent2" w:sz="8" w:space="0"/>
        <w:bottom w:val="single" w:color="C0504D" w:themeColor="accent2"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la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3" w:themeFill="accent2" w:themeFillTint="3F"/>
      </w:tcPr>
    </w:tblStylePr>
    <w:tblStylePr w:type="band1Horz">
      <w:tblPr/>
      <w:tcPr>
        <w:tcBorders>
          <w:left w:val="nil"/>
          <w:right w:val="nil"/>
          <w:insideH w:val="nil"/>
          <w:insideV w:val="nil"/>
        </w:tcBorders>
        <w:shd w:val="clear" w:color="auto" w:fill="EFD3D3" w:themeFill="accent2" w:themeFillTint="3F"/>
      </w:tcPr>
    </w:tblStylePr>
  </w:style>
  <w:style w:type="table" w:styleId="37">
    <w:name w:val="Light Shading Accent 3"/>
    <w:basedOn w:val="32"/>
    <w:uiPriority w:val="60"/>
    <w:pPr>
      <w:spacing w:after="0" w:line="240" w:lineRule="auto"/>
    </w:pPr>
    <w:rPr>
      <w:color w:val="77933C" w:themeColor="accent3" w:themeShade="BF"/>
    </w:rPr>
    <w:tblPr>
      <w:tblBorders>
        <w:top w:val="single" w:color="9BBB59" w:themeColor="accent3" w:sz="8" w:space="0"/>
        <w:bottom w:val="single" w:color="9BBB59" w:themeColor="accent3"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38">
    <w:name w:val="Light Shading Accent 4"/>
    <w:basedOn w:val="32"/>
    <w:uiPriority w:val="60"/>
    <w:pPr>
      <w:spacing w:after="0" w:line="240" w:lineRule="auto"/>
    </w:pPr>
    <w:rPr>
      <w:color w:val="604A7B" w:themeColor="accent4" w:themeShade="BF"/>
    </w:rPr>
    <w:tblPr>
      <w:tblBorders>
        <w:top w:val="single" w:color="8064A2" w:themeColor="accent4" w:sz="8" w:space="0"/>
        <w:bottom w:val="single" w:color="8064A2" w:themeColor="accent4"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la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39">
    <w:name w:val="Light Shading Accent 5"/>
    <w:basedOn w:val="32"/>
    <w:uiPriority w:val="60"/>
    <w:pPr>
      <w:spacing w:after="0" w:line="240" w:lineRule="auto"/>
    </w:pPr>
    <w:rPr>
      <w:color w:val="31859C" w:themeColor="accent5" w:themeShade="BF"/>
    </w:rPr>
    <w:tblPr>
      <w:tblBorders>
        <w:top w:val="single" w:color="4BACC6" w:themeColor="accent5" w:sz="8" w:space="0"/>
        <w:bottom w:val="single" w:color="4BACC6" w:themeColor="accent5"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la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0" w:themeFill="accent5" w:themeFillTint="3F"/>
      </w:tcPr>
    </w:tblStylePr>
    <w:tblStylePr w:type="band1Horz">
      <w:tblPr/>
      <w:tcPr>
        <w:tcBorders>
          <w:left w:val="nil"/>
          <w:right w:val="nil"/>
          <w:insideH w:val="nil"/>
          <w:insideV w:val="nil"/>
        </w:tcBorders>
        <w:shd w:val="clear" w:color="auto" w:fill="D2EAF0" w:themeFill="accent5" w:themeFillTint="3F"/>
      </w:tcPr>
    </w:tblStylePr>
  </w:style>
  <w:style w:type="table" w:styleId="40">
    <w:name w:val="Light Shading Accent 6"/>
    <w:basedOn w:val="32"/>
    <w:qFormat/>
    <w:uiPriority w:val="60"/>
    <w:pPr>
      <w:spacing w:after="0" w:line="240" w:lineRule="auto"/>
    </w:pPr>
    <w:rPr>
      <w:color w:val="E46C0A" w:themeColor="accent6" w:themeShade="BF"/>
    </w:rPr>
    <w:tblPr>
      <w:tblBorders>
        <w:top w:val="single" w:color="F79646" w:themeColor="accent6" w:sz="8" w:space="0"/>
        <w:bottom w:val="single" w:color="F79646" w:themeColor="accent6"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la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5D1" w:themeFill="accent6" w:themeFillTint="3F"/>
      </w:tcPr>
    </w:tblStylePr>
    <w:tblStylePr w:type="band1Horz">
      <w:tblPr/>
      <w:tcPr>
        <w:tcBorders>
          <w:left w:val="nil"/>
          <w:right w:val="nil"/>
          <w:insideH w:val="nil"/>
          <w:insideV w:val="nil"/>
        </w:tcBorders>
        <w:shd w:val="clear" w:color="auto" w:fill="FDE5D1" w:themeFill="accent6" w:themeFillTint="3F"/>
      </w:tcPr>
    </w:tblStylePr>
  </w:style>
  <w:style w:type="table" w:styleId="41">
    <w:name w:val="Light List"/>
    <w:basedOn w:val="32"/>
    <w:uiPriority w:val="61"/>
    <w:pPr>
      <w:spacing w:after="0" w:line="240" w:lineRule="auto"/>
    </w:pPr>
    <w:tblPr>
      <w:tblBorders>
        <w:top w:val="single" w:color="000000" w:themeColor="text1" w:sz="8" w:space="0"/>
        <w:left w:val="single" w:color="000000" w:themeColor="text1" w:sz="8" w:space="0"/>
        <w:bottom w:val="single" w:color="000000" w:themeColor="text1" w:sz="8" w:space="0"/>
        <w:right w:val="single" w:color="000000" w:themeColor="text1"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000000" w:themeFill="text1"/>
      </w:tc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Col">
      <w:rPr>
        <w:b/>
        <w:bCs/>
      </w:r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table" w:styleId="42">
    <w:name w:val="Light List Accent 1"/>
    <w:basedOn w:val="32"/>
    <w:uiPriority w:val="61"/>
    <w:pPr>
      <w:spacing w:after="0" w:line="240" w:lineRule="auto"/>
    </w:pPr>
    <w:tblPr>
      <w:tblBorders>
        <w:top w:val="single" w:color="4F81BD" w:themeColor="accent1" w:sz="8" w:space="0"/>
        <w:left w:val="single" w:color="4F81BD" w:themeColor="accent1" w:sz="8" w:space="0"/>
        <w:bottom w:val="single" w:color="4F81BD" w:themeColor="accent1" w:sz="8" w:space="0"/>
        <w:right w:val="single" w:color="4F81BD" w:themeColor="accent1"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4F81BD" w:themeFill="accent1"/>
      </w:tcPr>
    </w:tblStylePr>
    <w:tblStylePr w:type="lastRow">
      <w:pPr>
        <w:spacing w:before="0" w:after="0" w:line="240" w:lineRule="auto"/>
      </w:pPr>
      <w:rPr>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tcBorders>
      </w:tcPr>
    </w:tblStylePr>
    <w:tblStylePr w:type="firstCol">
      <w:rPr>
        <w:b/>
        <w:bCs/>
      </w:rPr>
    </w:tblStylePr>
    <w:tblStylePr w:type="lastCol">
      <w:rPr>
        <w:b/>
        <w:bCs/>
      </w:r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style>
  <w:style w:type="table" w:styleId="43">
    <w:name w:val="Light List Accent 2"/>
    <w:basedOn w:val="32"/>
    <w:uiPriority w:val="61"/>
    <w:pPr>
      <w:spacing w:after="0" w:line="240" w:lineRule="auto"/>
    </w:pPr>
    <w:tblPr>
      <w:tblBorders>
        <w:top w:val="single" w:color="C0504D" w:themeColor="accent2" w:sz="8" w:space="0"/>
        <w:left w:val="single" w:color="C0504D" w:themeColor="accent2" w:sz="8" w:space="0"/>
        <w:bottom w:val="single" w:color="C0504D" w:themeColor="accent2" w:sz="8" w:space="0"/>
        <w:right w:val="single" w:color="C0504D" w:themeColor="accent2"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C0504D" w:themeFill="accent2"/>
      </w:tcPr>
    </w:tblStylePr>
    <w:tblStylePr w:type="lastRow">
      <w:pPr>
        <w:spacing w:before="0" w:after="0" w:line="240" w:lineRule="auto"/>
      </w:pPr>
      <w:rPr>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tcBorders>
      </w:tcPr>
    </w:tblStylePr>
    <w:tblStylePr w:type="firstCol">
      <w:rPr>
        <w:b/>
        <w:bCs/>
      </w:rPr>
    </w:tblStylePr>
    <w:tblStylePr w:type="lastCol">
      <w:rPr>
        <w:b/>
        <w:bCs/>
      </w:r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style>
  <w:style w:type="table" w:styleId="44">
    <w:name w:val="Light List Accent 3"/>
    <w:basedOn w:val="32"/>
    <w:uiPriority w:val="61"/>
    <w:pPr>
      <w:spacing w:after="0" w:line="240" w:lineRule="auto"/>
    </w:pPr>
    <w:tblPr>
      <w:tblBorders>
        <w:top w:val="single" w:color="9BBB59" w:themeColor="accent3" w:sz="8" w:space="0"/>
        <w:left w:val="single" w:color="9BBB59" w:themeColor="accent3" w:sz="8" w:space="0"/>
        <w:bottom w:val="single" w:color="9BBB59" w:themeColor="accent3" w:sz="8" w:space="0"/>
        <w:right w:val="single" w:color="9BBB59" w:themeColor="accent3"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9BBB59" w:themeFill="accent3"/>
      </w:tcPr>
    </w:tblStylePr>
    <w:tblStylePr w:type="lastRow">
      <w:pPr>
        <w:spacing w:before="0" w:after="0" w:line="240" w:lineRule="auto"/>
      </w:pPr>
      <w:rPr>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firstCol">
      <w:rPr>
        <w:b/>
        <w:bCs/>
      </w:rPr>
    </w:tblStylePr>
    <w:tblStylePr w:type="lastCol">
      <w:rPr>
        <w:b/>
        <w:bCs/>
      </w:r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style>
  <w:style w:type="table" w:styleId="45">
    <w:name w:val="Light List Accent 4"/>
    <w:basedOn w:val="32"/>
    <w:uiPriority w:val="61"/>
    <w:pPr>
      <w:spacing w:after="0" w:line="240" w:lineRule="auto"/>
    </w:pPr>
    <w:tblPr>
      <w:tblBorders>
        <w:top w:val="single" w:color="8064A2" w:themeColor="accent4" w:sz="8" w:space="0"/>
        <w:left w:val="single" w:color="8064A2" w:themeColor="accent4" w:sz="8" w:space="0"/>
        <w:bottom w:val="single" w:color="8064A2" w:themeColor="accent4" w:sz="8" w:space="0"/>
        <w:right w:val="single" w:color="8064A2" w:themeColor="accent4"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8064A2" w:themeFill="accent4"/>
      </w:tcPr>
    </w:tblStylePr>
    <w:tblStylePr w:type="lastRow">
      <w:pPr>
        <w:spacing w:before="0" w:after="0" w:line="240" w:lineRule="auto"/>
      </w:pPr>
      <w:rPr>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tcBorders>
      </w:tcPr>
    </w:tblStylePr>
    <w:tblStylePr w:type="firstCol">
      <w:rPr>
        <w:b/>
        <w:bCs/>
      </w:rPr>
    </w:tblStylePr>
    <w:tblStylePr w:type="lastCol">
      <w:rPr>
        <w:b/>
        <w:bCs/>
      </w:r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style>
  <w:style w:type="table" w:styleId="46">
    <w:name w:val="Light List Accent 5"/>
    <w:basedOn w:val="32"/>
    <w:uiPriority w:val="61"/>
    <w:pPr>
      <w:spacing w:after="0" w:line="240" w:lineRule="auto"/>
    </w:pPr>
    <w:tblPr>
      <w:tblBorders>
        <w:top w:val="single" w:color="4BACC6" w:themeColor="accent5" w:sz="8" w:space="0"/>
        <w:left w:val="single" w:color="4BACC6" w:themeColor="accent5" w:sz="8" w:space="0"/>
        <w:bottom w:val="single" w:color="4BACC6" w:themeColor="accent5" w:sz="8" w:space="0"/>
        <w:right w:val="single" w:color="4BACC6" w:themeColor="accent5"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4BACC6" w:themeFill="accent5"/>
      </w:tcPr>
    </w:tblStylePr>
    <w:tblStylePr w:type="lastRow">
      <w:pPr>
        <w:spacing w:before="0" w:after="0" w:line="240" w:lineRule="auto"/>
      </w:pPr>
      <w:rPr>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firstCol">
      <w:rPr>
        <w:b/>
        <w:bCs/>
      </w:rPr>
    </w:tblStylePr>
    <w:tblStylePr w:type="lastCol">
      <w:rPr>
        <w:b/>
        <w:bCs/>
      </w:r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style>
  <w:style w:type="table" w:styleId="47">
    <w:name w:val="Light List Accent 6"/>
    <w:basedOn w:val="32"/>
    <w:qFormat/>
    <w:uiPriority w:val="61"/>
    <w:pPr>
      <w:spacing w:after="0" w:line="240" w:lineRule="auto"/>
    </w:pPr>
    <w:tblPr>
      <w:tblBorders>
        <w:top w:val="single" w:color="F79646" w:themeColor="accent6" w:sz="8" w:space="0"/>
        <w:left w:val="single" w:color="F79646" w:themeColor="accent6" w:sz="8" w:space="0"/>
        <w:bottom w:val="single" w:color="F79646" w:themeColor="accent6" w:sz="8" w:space="0"/>
        <w:right w:val="single" w:color="F79646" w:themeColor="accent6"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shd w:val="clear" w:color="auto" w:fill="F79646" w:themeFill="accent6"/>
      </w:tcPr>
    </w:tblStylePr>
    <w:tblStylePr w:type="lastRow">
      <w:pPr>
        <w:spacing w:before="0" w:after="0" w:line="240" w:lineRule="auto"/>
      </w:pPr>
      <w:rPr>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firstCol">
      <w:rPr>
        <w:b/>
        <w:bCs/>
      </w:rPr>
    </w:tblStylePr>
    <w:tblStylePr w:type="lastCol">
      <w:rPr>
        <w:b/>
        <w:bCs/>
      </w:r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style>
  <w:style w:type="table" w:styleId="48">
    <w:name w:val="Light Grid"/>
    <w:basedOn w:val="32"/>
    <w:uiPriority w:val="62"/>
    <w:pPr>
      <w:spacing w:after="0" w:line="240" w:lineRule="auto"/>
    </w:pPr>
    <w:tblP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BFBFBF"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sz="8" w:space="0"/>
        </w:tcBorders>
        <w:shd w:val="clear" w:color="auto" w:fill="BFBFBF"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sz="8" w:space="0"/>
        </w:tcBorders>
      </w:tcPr>
    </w:tblStylePr>
  </w:style>
  <w:style w:type="table" w:styleId="49">
    <w:name w:val="Light Grid Accent 1"/>
    <w:basedOn w:val="32"/>
    <w:uiPriority w:val="62"/>
    <w:pPr>
      <w:spacing w:after="0" w:line="240" w:lineRule="auto"/>
    </w:pPr>
    <w:tblPr>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sz="8" w:space="0"/>
        </w:tcBorders>
        <w:shd w:val="clear" w:color="auto" w:fill="D3DFEE" w:themeFill="accent1" w:themeFillTint="3F"/>
      </w:tcPr>
    </w:tblStylePr>
    <w:tblStylePr w:type="band2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sz="8" w:space="0"/>
        </w:tcBorders>
      </w:tcPr>
    </w:tblStylePr>
  </w:style>
  <w:style w:type="table" w:styleId="50">
    <w:name w:val="Light Grid Accent 2"/>
    <w:basedOn w:val="32"/>
    <w:uiPriority w:val="62"/>
    <w:pPr>
      <w:spacing w:after="0" w:line="240" w:lineRule="auto"/>
    </w:pPr>
    <w:tblPr>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3" w:themeFill="accent2" w:themeFillTint="3F"/>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sz="8" w:space="0"/>
        </w:tcBorders>
        <w:shd w:val="clear" w:color="auto" w:fill="EFD3D3" w:themeFill="accent2" w:themeFillTint="3F"/>
      </w:tcPr>
    </w:tblStylePr>
    <w:tblStylePr w:type="band2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sz="8" w:space="0"/>
        </w:tcBorders>
      </w:tcPr>
    </w:tblStylePr>
  </w:style>
  <w:style w:type="table" w:styleId="51">
    <w:name w:val="Light Grid Accent 3"/>
    <w:basedOn w:val="32"/>
    <w:uiPriority w:val="62"/>
    <w:pPr>
      <w:spacing w:after="0" w:line="240" w:lineRule="auto"/>
    </w:pPr>
    <w:tblPr>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sz="8" w:space="0"/>
        </w:tcBorders>
        <w:shd w:val="clear" w:color="auto" w:fill="E6EED5" w:themeFill="accent3" w:themeFillTint="3F"/>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sz="8" w:space="0"/>
        </w:tcBorders>
      </w:tcPr>
    </w:tblStylePr>
  </w:style>
  <w:style w:type="table" w:styleId="52">
    <w:name w:val="Light Grid Accent 4"/>
    <w:basedOn w:val="32"/>
    <w:uiPriority w:val="62"/>
    <w:pPr>
      <w:spacing w:after="0" w:line="240" w:lineRule="auto"/>
    </w:pPr>
    <w:tblPr>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18" w:space="0"/>
          <w:right w:val="single" w:color="8064A2" w:themeColor="accent4"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shd w:val="clear" w:color="auto" w:fill="DFD8E8" w:themeFill="accent4" w:themeFillTint="3F"/>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sz="8" w:space="0"/>
        </w:tcBorders>
        <w:shd w:val="clear" w:color="auto" w:fill="DFD8E8" w:themeFill="accent4" w:themeFillTint="3F"/>
      </w:tcPr>
    </w:tblStylePr>
    <w:tblStylePr w:type="band2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sz="8" w:space="0"/>
        </w:tcBorders>
      </w:tcPr>
    </w:tblStylePr>
  </w:style>
  <w:style w:type="table" w:styleId="53">
    <w:name w:val="Light Grid Accent 5"/>
    <w:basedOn w:val="32"/>
    <w:uiPriority w:val="62"/>
    <w:pPr>
      <w:spacing w:after="0" w:line="240" w:lineRule="auto"/>
    </w:pPr>
    <w:tblPr>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0" w:themeFill="accent5" w:themeFillTint="3F"/>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sz="8" w:space="0"/>
        </w:tcBorders>
        <w:shd w:val="clear" w:color="auto" w:fill="D2EAF0" w:themeFill="accent5" w:themeFillTint="3F"/>
      </w:tcPr>
    </w:tblStylePr>
    <w:tblStylePr w:type="band2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sz="8" w:space="0"/>
        </w:tcBorders>
      </w:tcPr>
    </w:tblStylePr>
  </w:style>
  <w:style w:type="table" w:styleId="54">
    <w:name w:val="Light Grid Accent 6"/>
    <w:basedOn w:val="32"/>
    <w:uiPriority w:val="62"/>
    <w:pPr>
      <w:spacing w:after="0" w:line="240" w:lineRule="auto"/>
    </w:pPr>
    <w:tblPr>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5D1" w:themeFill="accent6" w:themeFillTint="3F"/>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sz="8" w:space="0"/>
        </w:tcBorders>
        <w:shd w:val="clear" w:color="auto" w:fill="FDE5D1" w:themeFill="accent6" w:themeFillTint="3F"/>
      </w:tcPr>
    </w:tblStylePr>
    <w:tblStylePr w:type="band2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sz="8" w:space="0"/>
        </w:tcBorders>
      </w:tcPr>
    </w:tblStylePr>
  </w:style>
  <w:style w:type="table" w:styleId="55">
    <w:name w:val="Medium Shading 1"/>
    <w:basedOn w:val="32"/>
    <w:uiPriority w:val="63"/>
    <w:pPr>
      <w:spacing w:after="0" w:line="240" w:lineRule="auto"/>
    </w:pPr>
    <w:tblPr>
      <w:tbl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single" w:color="3F3F3F" w:themeColor="text1"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nil"/>
          <w:insideV w:val="nil"/>
        </w:tcBorders>
        <w:shd w:val="clear" w:color="auto" w:fill="000000" w:themeFill="text1"/>
      </w:tcPr>
    </w:tblStylePr>
    <w:tblStylePr w:type="lastRow">
      <w:pPr>
        <w:spacing w:before="0" w:after="0" w:line="240" w:lineRule="auto"/>
      </w:pPr>
      <w:rPr>
        <w:b/>
        <w:bCs/>
      </w:rPr>
      <w:tblPr/>
      <w:tcPr>
        <w:tcBorders>
          <w:top w:val="double" w:color="3F3F3F" w:themeColor="text1" w:themeTint="BF" w:sz="6" w:space="0"/>
          <w:left w:val="single" w:color="3F3F3F" w:themeColor="text1" w:themeTint="BF" w:sz="8" w:space="0"/>
          <w:bottom w:val="single" w:color="3F3F3F" w:themeColor="text1" w:themeTint="BF" w:sz="8" w:space="0"/>
          <w:right w:val="single" w:color="3F3F3F" w:themeColor="text1" w:themeTint="BF" w:sz="8" w:space="0"/>
          <w:insideH w:val="nil"/>
          <w:insideV w:val="nil"/>
        </w:tcBorders>
      </w:tcPr>
    </w:tblStylePr>
    <w:tblStylePr w:type="firstCol">
      <w:rPr>
        <w:b/>
        <w:bCs/>
      </w:rPr>
    </w:tblStylePr>
    <w:tblStylePr w:type="lastCol">
      <w:rPr>
        <w:b/>
        <w:bCs/>
      </w:rPr>
    </w:tblStylePr>
    <w:tblStylePr w:type="band1Vert">
      <w:tblPr/>
      <w:tcPr>
        <w:shd w:val="clear" w:color="auto" w:fill="BFBFBF" w:themeFill="text1" w:themeFillTint="3F"/>
      </w:tcPr>
    </w:tblStylePr>
    <w:tblStylePr w:type="band1Horz">
      <w:tblPr/>
      <w:tcPr>
        <w:tcBorders>
          <w:insideH w:val="nil"/>
          <w:insideV w:val="nil"/>
        </w:tcBorders>
        <w:shd w:val="clear" w:color="auto" w:fill="BFBFBF" w:themeFill="text1" w:themeFillTint="3F"/>
      </w:tcPr>
    </w:tblStylePr>
    <w:tblStylePr w:type="band2Horz">
      <w:tblPr/>
      <w:tcPr>
        <w:tcBorders>
          <w:insideH w:val="nil"/>
          <w:insideV w:val="nil"/>
        </w:tcBorders>
      </w:tcPr>
    </w:tblStylePr>
  </w:style>
  <w:style w:type="table" w:styleId="56">
    <w:name w:val="Medium Shading 1 Accent 1"/>
    <w:basedOn w:val="32"/>
    <w:uiPriority w:val="63"/>
    <w:pPr>
      <w:spacing w:after="0" w:line="240" w:lineRule="auto"/>
    </w:pPr>
    <w:tblPr>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tblStylePr w:type="lastRow">
      <w:pPr>
        <w:spacing w:before="0" w:after="0" w:line="240" w:lineRule="auto"/>
      </w:pPr>
      <w:rPr>
        <w:b/>
        <w:bCs/>
      </w:rPr>
      <w:tbl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57">
    <w:name w:val="Medium Shading 1 Accent 2"/>
    <w:basedOn w:val="32"/>
    <w:uiPriority w:val="63"/>
    <w:pPr>
      <w:spacing w:after="0" w:line="240" w:lineRule="auto"/>
    </w:pPr>
    <w:tblPr>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shd w:val="clear" w:color="auto" w:fill="C0504D" w:themeFill="accent2"/>
      </w:tcPr>
    </w:tblStylePr>
    <w:tblStylePr w:type="lastRow">
      <w:pPr>
        <w:spacing w:before="0" w:after="0" w:line="240" w:lineRule="auto"/>
      </w:pPr>
      <w:rPr>
        <w:b/>
        <w:bCs/>
      </w:rPr>
      <w:tblPr/>
      <w:tcPr>
        <w:tcBorders>
          <w:top w:val="double" w:color="CF7B79" w:themeColor="accent2" w:themeTint="BF" w:sz="6"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tcPr>
    </w:tblStylePr>
    <w:tblStylePr w:type="firstCol">
      <w:rPr>
        <w:b/>
        <w:bCs/>
      </w:rPr>
    </w:tblStylePr>
    <w:tblStylePr w:type="lastCol">
      <w:rPr>
        <w:b/>
        <w:bCs/>
      </w:rPr>
    </w:tblStylePr>
    <w:tblStylePr w:type="band1Vert">
      <w:tblPr/>
      <w:tcPr>
        <w:shd w:val="clear" w:color="auto" w:fill="EFD3D3" w:themeFill="accent2" w:themeFillTint="3F"/>
      </w:tcPr>
    </w:tblStylePr>
    <w:tblStylePr w:type="band1Horz">
      <w:tblPr/>
      <w:tcPr>
        <w:tcBorders>
          <w:insideH w:val="nil"/>
          <w:insideV w:val="nil"/>
        </w:tcBorders>
        <w:shd w:val="clear" w:color="auto" w:fill="EFD3D3" w:themeFill="accent2" w:themeFillTint="3F"/>
      </w:tcPr>
    </w:tblStylePr>
    <w:tblStylePr w:type="band2Horz">
      <w:tblPr/>
      <w:tcPr>
        <w:tcBorders>
          <w:insideH w:val="nil"/>
          <w:insideV w:val="nil"/>
        </w:tcBorders>
      </w:tcPr>
    </w:tblStylePr>
  </w:style>
  <w:style w:type="table" w:styleId="58">
    <w:name w:val="Medium Shading 1 Accent 3"/>
    <w:basedOn w:val="32"/>
    <w:uiPriority w:val="63"/>
    <w:pPr>
      <w:spacing w:after="0" w:line="240" w:lineRule="auto"/>
    </w:pPr>
    <w:tblPr>
      <w:tblBorders>
        <w:top w:val="single" w:color="B4CC82" w:themeColor="accent3" w:themeTint="BF" w:sz="8" w:space="0"/>
        <w:left w:val="single" w:color="B4CC82" w:themeColor="accent3" w:themeTint="BF" w:sz="8" w:space="0"/>
        <w:bottom w:val="single" w:color="B4CC82" w:themeColor="accent3" w:themeTint="BF" w:sz="8" w:space="0"/>
        <w:right w:val="single" w:color="B4CC82" w:themeColor="accent3" w:themeTint="BF" w:sz="8" w:space="0"/>
        <w:insideH w:val="single" w:color="B4CC82" w:themeColor="accent3"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B4CC82" w:themeColor="accent3" w:themeTint="BF" w:sz="8" w:space="0"/>
          <w:left w:val="single" w:color="B4CC82" w:themeColor="accent3" w:themeTint="BF" w:sz="8" w:space="0"/>
          <w:bottom w:val="single" w:color="B4CC82" w:themeColor="accent3" w:themeTint="BF" w:sz="8" w:space="0"/>
          <w:right w:val="single" w:color="B4CC82" w:themeColor="accent3" w:themeTint="BF" w:sz="8" w:space="0"/>
          <w:insideH w:val="nil"/>
          <w:insideV w:val="nil"/>
        </w:tcBorders>
        <w:shd w:val="clear" w:color="auto" w:fill="9BBB59" w:themeFill="accent3"/>
      </w:tcPr>
    </w:tblStylePr>
    <w:tblStylePr w:type="lastRow">
      <w:pPr>
        <w:spacing w:before="0" w:after="0" w:line="240" w:lineRule="auto"/>
      </w:pPr>
      <w:rPr>
        <w:b/>
        <w:bCs/>
      </w:rPr>
      <w:tblPr/>
      <w:tcPr>
        <w:tcBorders>
          <w:top w:val="double" w:color="B4CC82" w:themeColor="accent3" w:themeTint="BF" w:sz="6" w:space="0"/>
          <w:left w:val="single" w:color="B4CC82" w:themeColor="accent3" w:themeTint="BF" w:sz="8" w:space="0"/>
          <w:bottom w:val="single" w:color="B4CC82" w:themeColor="accent3" w:themeTint="BF" w:sz="8" w:space="0"/>
          <w:right w:val="single" w:color="B4CC82" w:themeColor="accent3" w:themeTint="BF" w:sz="8" w:space="0"/>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59">
    <w:name w:val="Medium Shading 1 Accent 4"/>
    <w:basedOn w:val="32"/>
    <w:uiPriority w:val="63"/>
    <w:pPr>
      <w:spacing w:after="0" w:line="240" w:lineRule="auto"/>
    </w:pPr>
    <w:tblPr>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shd w:val="clear" w:color="auto" w:fill="8064A2" w:themeFill="accent4"/>
      </w:tcPr>
    </w:tblStylePr>
    <w:tblStylePr w:type="lastRow">
      <w:pPr>
        <w:spacing w:before="0" w:after="0" w:line="240" w:lineRule="auto"/>
      </w:pPr>
      <w:rPr>
        <w:b/>
        <w:bCs/>
      </w:rPr>
      <w:tblPr/>
      <w:tcPr>
        <w:tcBorders>
          <w:top w:val="double" w:color="9F8AB9" w:themeColor="accent4" w:themeTint="BF" w:sz="6"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60">
    <w:name w:val="Medium Shading 1 Accent 5"/>
    <w:basedOn w:val="32"/>
    <w:uiPriority w:val="63"/>
    <w:pPr>
      <w:spacing w:after="0" w:line="240" w:lineRule="auto"/>
    </w:pPr>
    <w:tblPr>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shd w:val="clear" w:color="auto" w:fill="4BACC6" w:themeFill="accent5"/>
      </w:tcPr>
    </w:tblStylePr>
    <w:tblStylePr w:type="lastRow">
      <w:pPr>
        <w:spacing w:before="0" w:after="0" w:line="240" w:lineRule="auto"/>
      </w:pPr>
      <w:rPr>
        <w:b/>
        <w:bCs/>
      </w:rPr>
      <w:tblPr/>
      <w:tcPr>
        <w:tcBorders>
          <w:top w:val="double" w:color="78C0D4" w:themeColor="accent5" w:themeTint="BF" w:sz="6"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tcPr>
    </w:tblStylePr>
    <w:tblStylePr w:type="firstCol">
      <w:rPr>
        <w:b/>
        <w:bCs/>
      </w:rPr>
    </w:tblStylePr>
    <w:tblStylePr w:type="lastCol">
      <w:rPr>
        <w:b/>
        <w:bCs/>
      </w:rPr>
    </w:tblStylePr>
    <w:tblStylePr w:type="band1Vert">
      <w:tblPr/>
      <w:tcPr>
        <w:shd w:val="clear" w:color="auto" w:fill="D2EAF0" w:themeFill="accent5" w:themeFillTint="3F"/>
      </w:tcPr>
    </w:tblStylePr>
    <w:tblStylePr w:type="band1Horz">
      <w:tblPr/>
      <w:tcPr>
        <w:tcBorders>
          <w:insideH w:val="nil"/>
          <w:insideV w:val="nil"/>
        </w:tcBorders>
        <w:shd w:val="clear" w:color="auto" w:fill="D2EAF0" w:themeFill="accent5" w:themeFillTint="3F"/>
      </w:tcPr>
    </w:tblStylePr>
    <w:tblStylePr w:type="band2Horz">
      <w:tblPr/>
      <w:tcPr>
        <w:tcBorders>
          <w:insideH w:val="nil"/>
          <w:insideV w:val="nil"/>
        </w:tcBorders>
      </w:tcPr>
    </w:tblStylePr>
  </w:style>
  <w:style w:type="table" w:styleId="61">
    <w:name w:val="Medium Shading 1 Accent 6"/>
    <w:basedOn w:val="32"/>
    <w:uiPriority w:val="63"/>
    <w:pPr>
      <w:spacing w:after="0" w:line="240" w:lineRule="auto"/>
    </w:pPr>
    <w:tblPr>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shd w:val="clear" w:color="auto" w:fill="F79646" w:themeFill="accent6"/>
      </w:tcPr>
    </w:tblStylePr>
    <w:tblStylePr w:type="lastRow">
      <w:pPr>
        <w:spacing w:before="0" w:after="0" w:line="240" w:lineRule="auto"/>
      </w:pPr>
      <w:rPr>
        <w:b/>
        <w:bCs/>
      </w:rPr>
      <w:tblPr/>
      <w:tcPr>
        <w:tcBorders>
          <w:top w:val="double" w:color="F9B074" w:themeColor="accent6" w:themeTint="BF" w:sz="6"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tcPr>
    </w:tblStylePr>
    <w:tblStylePr w:type="firstCol">
      <w:rPr>
        <w:b/>
        <w:bCs/>
      </w:rPr>
    </w:tblStylePr>
    <w:tblStylePr w:type="lastCol">
      <w:rPr>
        <w:b/>
        <w:bCs/>
      </w:rPr>
    </w:tblStylePr>
    <w:tblStylePr w:type="band1Vert">
      <w:tblPr/>
      <w:tcPr>
        <w:shd w:val="clear" w:color="auto" w:fill="FDE5D1" w:themeFill="accent6" w:themeFillTint="3F"/>
      </w:tcPr>
    </w:tblStylePr>
    <w:tblStylePr w:type="band1Horz">
      <w:tblPr/>
      <w:tcPr>
        <w:tcBorders>
          <w:insideH w:val="nil"/>
          <w:insideV w:val="nil"/>
        </w:tcBorders>
        <w:shd w:val="clear" w:color="auto" w:fill="FDE5D1" w:themeFill="accent6" w:themeFillTint="3F"/>
      </w:tcPr>
    </w:tblStylePr>
    <w:tblStylePr w:type="band2Horz">
      <w:tblPr/>
      <w:tcPr>
        <w:tcBorders>
          <w:insideH w:val="nil"/>
          <w:insideV w:val="nil"/>
        </w:tcBorders>
      </w:tcPr>
    </w:tblStylePr>
  </w:style>
  <w:style w:type="table" w:styleId="62">
    <w:name w:val="Medium Shading 2"/>
    <w:basedOn w:val="32"/>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000000" w:themeFill="text1"/>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3">
    <w:name w:val="Medium Shading 2 Accent 1"/>
    <w:basedOn w:val="32"/>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4F81BD" w:themeFill="accent1"/>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4">
    <w:name w:val="Medium Shading 2 Accent 2"/>
    <w:basedOn w:val="32"/>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C0504D" w:themeFill="accent2"/>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5">
    <w:name w:val="Medium Shading 2 Accent 3"/>
    <w:basedOn w:val="32"/>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9BBB59" w:themeFill="accent3"/>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6">
    <w:name w:val="Medium Shading 2 Accent 4"/>
    <w:basedOn w:val="32"/>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8064A2" w:themeFill="accent4"/>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7">
    <w:name w:val="Medium Shading 2 Accent 5"/>
    <w:basedOn w:val="32"/>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4BACC6" w:themeFill="accent5"/>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8">
    <w:name w:val="Medium Shading 2 Accent 6"/>
    <w:basedOn w:val="32"/>
    <w:qFormat/>
    <w:uiPriority w:val="64"/>
    <w:pPr>
      <w:spacing w:after="0" w:line="240" w:lineRule="auto"/>
    </w:pPr>
    <w:tblPr>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14:textFill>
          <w14:solidFill>
            <w14:schemeClr w14:val="bg1"/>
          </w14:solidFill>
        </w14:textFill>
      </w:rPr>
      <w:tblPr/>
      <w:tcPr>
        <w:tcBorders>
          <w:top w:val="nil"/>
          <w:left w:val="nil"/>
          <w:bottom w:val="single" w:color="auto" w:sz="18" w:space="0"/>
          <w:right w:val="nil"/>
          <w:insideH w:val="nil"/>
          <w:insideV w:val="nil"/>
        </w:tcBorders>
        <w:shd w:val="clear" w:color="auto" w:fill="F79646" w:themeFill="accent6"/>
      </w:tcPr>
    </w:tblStylePr>
    <w:tblStylePr w:type="lastCol">
      <w:rPr>
        <w:b/>
        <w:bCs/>
        <w:color w:val="FFFFFF" w:themeColor="background1"/>
        <w14:textFill>
          <w14:solidFill>
            <w14:schemeClr w14:val="bg1"/>
          </w14:solidFill>
        </w14:textFill>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7D7D7" w:themeFill="background1" w:themeFillShade="D8"/>
      </w:tcPr>
    </w:tblStylePr>
    <w:tblStylePr w:type="band1Horz">
      <w:tblPr/>
      <w:tcPr>
        <w:shd w:val="clear" w:color="auto" w:fill="D7D7D7"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14:textFill>
          <w14:solidFill>
            <w14:schemeClr w14:val="bg1"/>
          </w14:solidFill>
        </w14:textFill>
      </w:rPr>
      <w:tblPr/>
      <w:tcPr>
        <w:tcBorders>
          <w:top w:val="single" w:color="auto" w:sz="18" w:space="0"/>
          <w:left w:val="nil"/>
          <w:bottom w:val="single" w:color="auto" w:sz="18" w:space="0"/>
          <w:right w:val="nil"/>
          <w:insideH w:val="nil"/>
          <w:insideV w:val="nil"/>
        </w:tcBorders>
      </w:tcPr>
    </w:tblStylePr>
  </w:style>
  <w:style w:type="table" w:styleId="69">
    <w:name w:val="Medium List 1"/>
    <w:basedOn w:val="32"/>
    <w:qFormat/>
    <w:uiPriority w:val="65"/>
    <w:pPr>
      <w:spacing w:after="0" w:line="240" w:lineRule="auto"/>
    </w:pPr>
    <w:rPr>
      <w:color w:val="000000" w:themeColor="text1"/>
      <w14:textFill>
        <w14:solidFill>
          <w14:schemeClr w14:val="tx1"/>
        </w14:solidFill>
      </w14:textFill>
    </w:rPr>
    <w:tblPr>
      <w:tblBorders>
        <w:top w:val="single" w:color="000000" w:themeColor="text1" w:sz="8" w:space="0"/>
        <w:bottom w:val="single" w:color="000000" w:themeColor="text1"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000000" w:themeColor="text1" w:sz="8" w:space="0"/>
        </w:tcBorders>
      </w:tcPr>
    </w:tblStylePr>
    <w:tblStylePr w:type="lastRow">
      <w:rPr>
        <w:b/>
        <w:bCs/>
        <w:color w:val="1F497D" w:themeColor="text2"/>
        <w14:textFill>
          <w14:solidFill>
            <w14:schemeClr w14:val="tx2"/>
          </w14:solidFill>
        </w14:textFill>
      </w:rPr>
      <w:tblPr/>
      <w:tcPr>
        <w:tcBorders>
          <w:top w:val="single" w:color="000000" w:themeColor="text1" w:sz="8" w:space="0"/>
          <w:bottom w:val="single" w:color="000000" w:themeColor="text1" w:sz="8" w:space="0"/>
        </w:tcBorders>
      </w:tcPr>
    </w:tblStylePr>
    <w:tblStylePr w:type="firstCol">
      <w:rPr>
        <w:b/>
        <w:bCs/>
      </w:rPr>
    </w:tblStylePr>
    <w:tblStylePr w:type="lastCol">
      <w:rPr>
        <w:b/>
        <w:bCs/>
      </w:rPr>
      <w:tblPr/>
      <w:tcPr>
        <w:tcBorders>
          <w:top w:val="single" w:color="000000" w:themeColor="text1" w:sz="8" w:space="0"/>
          <w:bottom w:val="single" w:color="000000" w:themeColor="text1" w:sz="8" w:space="0"/>
        </w:tcBorders>
      </w:tcPr>
    </w:tblStylePr>
    <w:tblStylePr w:type="band1Vert">
      <w:tblPr/>
      <w:tcPr>
        <w:shd w:val="clear" w:color="auto" w:fill="BFBFBF" w:themeFill="text1" w:themeFillTint="3F"/>
      </w:tcPr>
    </w:tblStylePr>
    <w:tblStylePr w:type="band1Horz">
      <w:tblPr/>
      <w:tcPr>
        <w:shd w:val="clear" w:color="auto" w:fill="BFBFBF" w:themeFill="text1" w:themeFillTint="3F"/>
      </w:tcPr>
    </w:tblStylePr>
  </w:style>
  <w:style w:type="table" w:styleId="70">
    <w:name w:val="Medium List 1 Accent 1"/>
    <w:basedOn w:val="32"/>
    <w:uiPriority w:val="65"/>
    <w:pPr>
      <w:spacing w:after="0" w:line="240" w:lineRule="auto"/>
    </w:pPr>
    <w:rPr>
      <w:color w:val="000000" w:themeColor="text1"/>
      <w14:textFill>
        <w14:solidFill>
          <w14:schemeClr w14:val="tx1"/>
        </w14:solidFill>
      </w14:textFill>
    </w:rPr>
    <w:tblPr>
      <w:tblBorders>
        <w:top w:val="single" w:color="4F81BD" w:themeColor="accent1" w:sz="8" w:space="0"/>
        <w:bottom w:val="single" w:color="4F81BD" w:themeColor="accent1"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4F81BD" w:themeColor="accent1" w:sz="8" w:space="0"/>
        </w:tcBorders>
      </w:tcPr>
    </w:tblStylePr>
    <w:tblStylePr w:type="lastRow">
      <w:rPr>
        <w:b/>
        <w:bCs/>
        <w:color w:val="1F497D" w:themeColor="text2"/>
        <w14:textFill>
          <w14:solidFill>
            <w14:schemeClr w14:val="tx2"/>
          </w14:solidFill>
        </w14:textFill>
      </w:rPr>
      <w:tblPr/>
      <w:tcPr>
        <w:tcBorders>
          <w:top w:val="single" w:color="4F81BD" w:themeColor="accent1" w:sz="8" w:space="0"/>
          <w:bottom w:val="single" w:color="4F81BD" w:themeColor="accent1" w:sz="8" w:space="0"/>
        </w:tcBorders>
      </w:tcPr>
    </w:tblStylePr>
    <w:tblStylePr w:type="firstCol">
      <w:rPr>
        <w:b/>
        <w:bCs/>
      </w:rPr>
    </w:tblStylePr>
    <w:tblStylePr w:type="lastCol">
      <w:rPr>
        <w:b/>
        <w:bCs/>
      </w:rPr>
      <w:tblPr/>
      <w:tcPr>
        <w:tcBorders>
          <w:top w:val="single" w:color="4F81BD" w:themeColor="accent1" w:sz="8" w:space="0"/>
          <w:bottom w:val="single" w:color="4F81BD" w:themeColor="accent1" w:sz="8" w:space="0"/>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71">
    <w:name w:val="Medium List 1 Accent 2"/>
    <w:basedOn w:val="32"/>
    <w:uiPriority w:val="65"/>
    <w:pPr>
      <w:spacing w:after="0" w:line="240" w:lineRule="auto"/>
    </w:pPr>
    <w:rPr>
      <w:color w:val="000000" w:themeColor="text1"/>
      <w14:textFill>
        <w14:solidFill>
          <w14:schemeClr w14:val="tx1"/>
        </w14:solidFill>
      </w14:textFill>
    </w:rPr>
    <w:tblPr>
      <w:tblBorders>
        <w:top w:val="single" w:color="C0504D" w:themeColor="accent2" w:sz="8" w:space="0"/>
        <w:bottom w:val="single" w:color="C0504D" w:themeColor="accent2"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C0504D" w:themeColor="accent2" w:sz="8" w:space="0"/>
        </w:tcBorders>
      </w:tcPr>
    </w:tblStylePr>
    <w:tblStylePr w:type="lastRow">
      <w:rPr>
        <w:b/>
        <w:bCs/>
        <w:color w:val="1F497D" w:themeColor="text2"/>
        <w14:textFill>
          <w14:solidFill>
            <w14:schemeClr w14:val="tx2"/>
          </w14:solidFill>
        </w14:textFill>
      </w:rPr>
      <w:tblPr/>
      <w:tcPr>
        <w:tcBorders>
          <w:top w:val="single" w:color="C0504D" w:themeColor="accent2" w:sz="8" w:space="0"/>
          <w:bottom w:val="single" w:color="C0504D" w:themeColor="accent2" w:sz="8" w:space="0"/>
        </w:tcBorders>
      </w:tcPr>
    </w:tblStylePr>
    <w:tblStylePr w:type="firstCol">
      <w:rPr>
        <w:b/>
        <w:bCs/>
      </w:rPr>
    </w:tblStylePr>
    <w:tblStylePr w:type="lastCol">
      <w:rPr>
        <w:b/>
        <w:bCs/>
      </w:rPr>
      <w:tblPr/>
      <w:tcPr>
        <w:tcBorders>
          <w:top w:val="single" w:color="C0504D" w:themeColor="accent2" w:sz="8" w:space="0"/>
          <w:bottom w:val="single" w:color="C0504D" w:themeColor="accent2" w:sz="8" w:space="0"/>
        </w:tcBorders>
      </w:tcPr>
    </w:tblStylePr>
    <w:tblStylePr w:type="band1Vert">
      <w:tblPr/>
      <w:tcPr>
        <w:shd w:val="clear" w:color="auto" w:fill="EFD3D3" w:themeFill="accent2" w:themeFillTint="3F"/>
      </w:tcPr>
    </w:tblStylePr>
    <w:tblStylePr w:type="band1Horz">
      <w:tblPr/>
      <w:tcPr>
        <w:shd w:val="clear" w:color="auto" w:fill="EFD3D3" w:themeFill="accent2" w:themeFillTint="3F"/>
      </w:tcPr>
    </w:tblStylePr>
  </w:style>
  <w:style w:type="table" w:styleId="72">
    <w:name w:val="Medium List 1 Accent 3"/>
    <w:basedOn w:val="32"/>
    <w:uiPriority w:val="65"/>
    <w:pPr>
      <w:spacing w:after="0" w:line="240" w:lineRule="auto"/>
    </w:pPr>
    <w:rPr>
      <w:color w:val="000000" w:themeColor="text1"/>
      <w14:textFill>
        <w14:solidFill>
          <w14:schemeClr w14:val="tx1"/>
        </w14:solidFill>
      </w14:textFill>
    </w:rPr>
    <w:tblPr>
      <w:tblBorders>
        <w:top w:val="single" w:color="9BBB59" w:themeColor="accent3" w:sz="8" w:space="0"/>
        <w:bottom w:val="single" w:color="9BBB59" w:themeColor="accent3"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9BBB59" w:themeColor="accent3" w:sz="8" w:space="0"/>
        </w:tcBorders>
      </w:tcPr>
    </w:tblStylePr>
    <w:tblStylePr w:type="lastRow">
      <w:rPr>
        <w:b/>
        <w:bCs/>
        <w:color w:val="1F497D" w:themeColor="text2"/>
        <w14:textFill>
          <w14:solidFill>
            <w14:schemeClr w14:val="tx2"/>
          </w14:solidFill>
        </w14:textFill>
      </w:rPr>
      <w:tblPr/>
      <w:tcPr>
        <w:tcBorders>
          <w:top w:val="single" w:color="9BBB59" w:themeColor="accent3" w:sz="8" w:space="0"/>
          <w:bottom w:val="single" w:color="9BBB59" w:themeColor="accent3" w:sz="8" w:space="0"/>
        </w:tcBorders>
      </w:tcPr>
    </w:tblStylePr>
    <w:tblStylePr w:type="firstCol">
      <w:rPr>
        <w:b/>
        <w:bCs/>
      </w:rPr>
    </w:tblStylePr>
    <w:tblStylePr w:type="lastCol">
      <w:rPr>
        <w:b/>
        <w:bCs/>
      </w:rPr>
      <w:tblPr/>
      <w:tcPr>
        <w:tcBorders>
          <w:top w:val="single" w:color="9BBB59" w:themeColor="accent3" w:sz="8" w:space="0"/>
          <w:bottom w:val="single" w:color="9BBB59" w:themeColor="accent3" w:sz="8" w:space="0"/>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73">
    <w:name w:val="Medium List 1 Accent 4"/>
    <w:basedOn w:val="32"/>
    <w:uiPriority w:val="65"/>
    <w:pPr>
      <w:spacing w:after="0" w:line="240" w:lineRule="auto"/>
    </w:pPr>
    <w:rPr>
      <w:color w:val="000000" w:themeColor="text1"/>
      <w14:textFill>
        <w14:solidFill>
          <w14:schemeClr w14:val="tx1"/>
        </w14:solidFill>
      </w14:textFill>
    </w:rPr>
    <w:tblPr>
      <w:tblBorders>
        <w:top w:val="single" w:color="8064A2" w:themeColor="accent4" w:sz="8" w:space="0"/>
        <w:bottom w:val="single" w:color="8064A2" w:themeColor="accent4"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8064A2" w:themeColor="accent4" w:sz="8" w:space="0"/>
        </w:tcBorders>
      </w:tcPr>
    </w:tblStylePr>
    <w:tblStylePr w:type="lastRow">
      <w:rPr>
        <w:b/>
        <w:bCs/>
        <w:color w:val="1F497D" w:themeColor="text2"/>
        <w14:textFill>
          <w14:solidFill>
            <w14:schemeClr w14:val="tx2"/>
          </w14:solidFill>
        </w14:textFill>
      </w:rPr>
      <w:tblPr/>
      <w:tcPr>
        <w:tcBorders>
          <w:top w:val="single" w:color="8064A2" w:themeColor="accent4" w:sz="8" w:space="0"/>
          <w:bottom w:val="single" w:color="8064A2" w:themeColor="accent4" w:sz="8" w:space="0"/>
        </w:tcBorders>
      </w:tcPr>
    </w:tblStylePr>
    <w:tblStylePr w:type="firstCol">
      <w:rPr>
        <w:b/>
        <w:bCs/>
      </w:rPr>
    </w:tblStylePr>
    <w:tblStylePr w:type="lastCol">
      <w:rPr>
        <w:b/>
        <w:bCs/>
      </w:rPr>
      <w:tblPr/>
      <w:tcPr>
        <w:tcBorders>
          <w:top w:val="single" w:color="8064A2" w:themeColor="accent4" w:sz="8" w:space="0"/>
          <w:bottom w:val="single" w:color="8064A2" w:themeColor="accent4" w:sz="8" w:space="0"/>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74">
    <w:name w:val="Medium List 1 Accent 5"/>
    <w:basedOn w:val="32"/>
    <w:uiPriority w:val="65"/>
    <w:pPr>
      <w:spacing w:after="0" w:line="240" w:lineRule="auto"/>
    </w:pPr>
    <w:rPr>
      <w:color w:val="000000" w:themeColor="text1"/>
      <w14:textFill>
        <w14:solidFill>
          <w14:schemeClr w14:val="tx1"/>
        </w14:solidFill>
      </w14:textFill>
    </w:rPr>
    <w:tblPr>
      <w:tblBorders>
        <w:top w:val="single" w:color="4BACC6" w:themeColor="accent5" w:sz="8" w:space="0"/>
        <w:bottom w:val="single" w:color="4BACC6" w:themeColor="accent5"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4BACC6" w:themeColor="accent5" w:sz="8" w:space="0"/>
        </w:tcBorders>
      </w:tcPr>
    </w:tblStylePr>
    <w:tblStylePr w:type="lastRow">
      <w:rPr>
        <w:b/>
        <w:bCs/>
        <w:color w:val="1F497D" w:themeColor="text2"/>
        <w14:textFill>
          <w14:solidFill>
            <w14:schemeClr w14:val="tx2"/>
          </w14:solidFill>
        </w14:textFill>
      </w:rPr>
      <w:tblPr/>
      <w:tcPr>
        <w:tcBorders>
          <w:top w:val="single" w:color="4BACC6" w:themeColor="accent5" w:sz="8" w:space="0"/>
          <w:bottom w:val="single" w:color="4BACC6" w:themeColor="accent5" w:sz="8" w:space="0"/>
        </w:tcBorders>
      </w:tcPr>
    </w:tblStylePr>
    <w:tblStylePr w:type="firstCol">
      <w:rPr>
        <w:b/>
        <w:bCs/>
      </w:rPr>
    </w:tblStylePr>
    <w:tblStylePr w:type="lastCol">
      <w:rPr>
        <w:b/>
        <w:bCs/>
      </w:rPr>
      <w:tblPr/>
      <w:tcPr>
        <w:tcBorders>
          <w:top w:val="single" w:color="4BACC6" w:themeColor="accent5" w:sz="8" w:space="0"/>
          <w:bottom w:val="single" w:color="4BACC6" w:themeColor="accent5" w:sz="8" w:space="0"/>
        </w:tcBorders>
      </w:tcPr>
    </w:tblStylePr>
    <w:tblStylePr w:type="band1Vert">
      <w:tblPr/>
      <w:tcPr>
        <w:shd w:val="clear" w:color="auto" w:fill="D2EAF0" w:themeFill="accent5" w:themeFillTint="3F"/>
      </w:tcPr>
    </w:tblStylePr>
    <w:tblStylePr w:type="band1Horz">
      <w:tblPr/>
      <w:tcPr>
        <w:shd w:val="clear" w:color="auto" w:fill="D2EAF0" w:themeFill="accent5" w:themeFillTint="3F"/>
      </w:tcPr>
    </w:tblStylePr>
  </w:style>
  <w:style w:type="table" w:styleId="75">
    <w:name w:val="Medium List 1 Accent 6"/>
    <w:basedOn w:val="32"/>
    <w:uiPriority w:val="65"/>
    <w:pPr>
      <w:spacing w:after="0" w:line="240" w:lineRule="auto"/>
    </w:pPr>
    <w:rPr>
      <w:color w:val="000000" w:themeColor="text1"/>
      <w14:textFill>
        <w14:solidFill>
          <w14:schemeClr w14:val="tx1"/>
        </w14:solidFill>
      </w14:textFill>
    </w:rPr>
    <w:tblPr>
      <w:tblBorders>
        <w:top w:val="single" w:color="F79646" w:themeColor="accent6" w:sz="8" w:space="0"/>
        <w:bottom w:val="single" w:color="F79646" w:themeColor="accent6"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F79646" w:themeColor="accent6" w:sz="8" w:space="0"/>
        </w:tcBorders>
      </w:tcPr>
    </w:tblStylePr>
    <w:tblStylePr w:type="lastRow">
      <w:rPr>
        <w:b/>
        <w:bCs/>
        <w:color w:val="1F497D" w:themeColor="text2"/>
        <w14:textFill>
          <w14:solidFill>
            <w14:schemeClr w14:val="tx2"/>
          </w14:solidFill>
        </w14:textFill>
      </w:rPr>
      <w:tblPr/>
      <w:tcPr>
        <w:tcBorders>
          <w:top w:val="single" w:color="F79646" w:themeColor="accent6" w:sz="8" w:space="0"/>
          <w:bottom w:val="single" w:color="F79646" w:themeColor="accent6" w:sz="8" w:space="0"/>
        </w:tcBorders>
      </w:tcPr>
    </w:tblStylePr>
    <w:tblStylePr w:type="firstCol">
      <w:rPr>
        <w:b/>
        <w:bCs/>
      </w:rPr>
    </w:tblStylePr>
    <w:tblStylePr w:type="lastCol">
      <w:rPr>
        <w:b/>
        <w:bCs/>
      </w:rPr>
      <w:tblPr/>
      <w:tcPr>
        <w:tcBorders>
          <w:top w:val="single" w:color="F79646" w:themeColor="accent6" w:sz="8" w:space="0"/>
          <w:bottom w:val="single" w:color="F79646" w:themeColor="accent6" w:sz="8" w:space="0"/>
        </w:tcBorders>
      </w:tcPr>
    </w:tblStylePr>
    <w:tblStylePr w:type="band1Vert">
      <w:tblPr/>
      <w:tcPr>
        <w:shd w:val="clear" w:color="auto" w:fill="FDE5D1" w:themeFill="accent6" w:themeFillTint="3F"/>
      </w:tcPr>
    </w:tblStylePr>
    <w:tblStylePr w:type="band1Horz">
      <w:tblPr/>
      <w:tcPr>
        <w:shd w:val="clear" w:color="auto" w:fill="FDE5D1" w:themeFill="accent6" w:themeFillTint="3F"/>
      </w:tcPr>
    </w:tblStylePr>
  </w:style>
  <w:style w:type="table" w:styleId="76">
    <w:name w:val="Medium List 2"/>
    <w:basedOn w:val="32"/>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000000" w:themeColor="text1" w:sz="8" w:space="0"/>
        <w:left w:val="single" w:color="000000" w:themeColor="text1" w:sz="8" w:space="0"/>
        <w:bottom w:val="single" w:color="000000" w:themeColor="text1" w:sz="8" w:space="0"/>
        <w:right w:val="single" w:color="000000" w:themeColor="text1" w:sz="8" w:space="0"/>
      </w:tblBorders>
      <w:tblCellMar>
        <w:top w:w="0" w:type="dxa"/>
        <w:left w:w="108" w:type="dxa"/>
        <w:bottom w:w="0" w:type="dxa"/>
        <w:right w:w="108" w:type="dxa"/>
      </w:tblCellMar>
    </w:tblPr>
    <w:tblStylePr w:type="firstRow">
      <w:rPr>
        <w:sz w:val="24"/>
        <w:szCs w:val="24"/>
      </w:rPr>
      <w:tblPr/>
      <w:tcPr>
        <w:tcBorders>
          <w:top w:val="nil"/>
          <w:left w:val="nil"/>
          <w:bottom w:val="single" w:color="000000" w:themeColor="text1" w:sz="24" w:space="0"/>
          <w:right w:val="nil"/>
          <w:insideH w:val="nil"/>
          <w:insideV w:val="nil"/>
        </w:tcBorders>
        <w:shd w:val="clear" w:color="auto" w:fill="FFFFFF" w:themeFill="background1"/>
      </w:tcPr>
    </w:tblStylePr>
    <w:tblStylePr w:type="lastRow">
      <w:tblPr/>
      <w:tcPr>
        <w:tcBorders>
          <w:top w:val="single" w:color="000000" w:themeColor="tex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000000" w:themeColor="text1" w:sz="8" w:space="0"/>
          <w:insideH w:val="nil"/>
          <w:insideV w:val="nil"/>
        </w:tcBorders>
        <w:shd w:val="clear" w:color="auto" w:fill="FFFFFF" w:themeFill="background1"/>
      </w:tcPr>
    </w:tblStylePr>
    <w:tblStylePr w:type="lastCol">
      <w:tblPr/>
      <w:tcPr>
        <w:tcBorders>
          <w:top w:val="nil"/>
          <w:left w:val="single" w:color="000000" w:themeColor="tex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FBFBF" w:themeFill="text1" w:themeFillTint="3F"/>
      </w:tcPr>
    </w:tblStylePr>
    <w:tblStylePr w:type="band1Horz">
      <w:tblPr/>
      <w:tcPr>
        <w:tcBorders>
          <w:top w:val="nil"/>
          <w:bottom w:val="nil"/>
          <w:insideH w:val="nil"/>
          <w:insideV w:val="nil"/>
        </w:tcBorders>
        <w:shd w:val="clear" w:color="auto" w:fill="BFBFBF"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77">
    <w:name w:val="Medium List 2 Accent 1"/>
    <w:basedOn w:val="32"/>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F81BD" w:themeColor="accent1" w:sz="8" w:space="0"/>
        <w:left w:val="single" w:color="4F81BD" w:themeColor="accent1" w:sz="8" w:space="0"/>
        <w:bottom w:val="single" w:color="4F81BD" w:themeColor="accent1" w:sz="8" w:space="0"/>
        <w:right w:val="single" w:color="4F81BD" w:themeColor="accent1" w:sz="8" w:space="0"/>
      </w:tblBorders>
      <w:tblCellMar>
        <w:top w:w="0" w:type="dxa"/>
        <w:left w:w="108" w:type="dxa"/>
        <w:bottom w:w="0" w:type="dxa"/>
        <w:right w:w="108" w:type="dxa"/>
      </w:tblCellMar>
    </w:tblPr>
    <w:tblStylePr w:type="firstRow">
      <w:rPr>
        <w:sz w:val="24"/>
        <w:szCs w:val="24"/>
      </w:rPr>
      <w:tblPr/>
      <w:tcPr>
        <w:tcBorders>
          <w:top w:val="nil"/>
          <w:left w:val="nil"/>
          <w:bottom w:val="single" w:color="4F81BD" w:themeColor="accent1" w:sz="24" w:space="0"/>
          <w:right w:val="nil"/>
          <w:insideH w:val="nil"/>
          <w:insideV w:val="nil"/>
        </w:tcBorders>
        <w:shd w:val="clear" w:color="auto" w:fill="FFFFFF" w:themeFill="background1"/>
      </w:tcPr>
    </w:tblStylePr>
    <w:tblStylePr w:type="lastRow">
      <w:tblPr/>
      <w:tcPr>
        <w:tcBorders>
          <w:top w:val="single" w:color="4F81BD" w:themeColor="accen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F81BD" w:themeColor="accent1" w:sz="8" w:space="0"/>
          <w:insideH w:val="nil"/>
          <w:insideV w:val="nil"/>
        </w:tcBorders>
        <w:shd w:val="clear" w:color="auto" w:fill="FFFFFF" w:themeFill="background1"/>
      </w:tcPr>
    </w:tblStylePr>
    <w:tblStylePr w:type="lastCol">
      <w:tblPr/>
      <w:tcPr>
        <w:tcBorders>
          <w:top w:val="nil"/>
          <w:left w:val="single" w:color="4F81BD" w:themeColor="accen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78">
    <w:name w:val="Medium List 2 Accent 2"/>
    <w:basedOn w:val="32"/>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C0504D" w:themeColor="accent2" w:sz="8" w:space="0"/>
        <w:left w:val="single" w:color="C0504D" w:themeColor="accent2" w:sz="8" w:space="0"/>
        <w:bottom w:val="single" w:color="C0504D" w:themeColor="accent2" w:sz="8" w:space="0"/>
        <w:right w:val="single" w:color="C0504D" w:themeColor="accent2" w:sz="8" w:space="0"/>
      </w:tblBorders>
      <w:tblCellMar>
        <w:top w:w="0" w:type="dxa"/>
        <w:left w:w="108" w:type="dxa"/>
        <w:bottom w:w="0" w:type="dxa"/>
        <w:right w:w="108" w:type="dxa"/>
      </w:tblCellMar>
    </w:tblPr>
    <w:tblStylePr w:type="firstRow">
      <w:rPr>
        <w:sz w:val="24"/>
        <w:szCs w:val="24"/>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tblPr/>
      <w:tcPr>
        <w:tcBorders>
          <w:top w:val="single" w:color="C0504D" w:themeColor="accent2"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C0504D" w:themeColor="accent2" w:sz="8" w:space="0"/>
          <w:insideH w:val="nil"/>
          <w:insideV w:val="nil"/>
        </w:tcBorders>
        <w:shd w:val="clear" w:color="auto" w:fill="FFFFFF" w:themeFill="background1"/>
      </w:tcPr>
    </w:tblStylePr>
    <w:tblStylePr w:type="lastCol">
      <w:tblPr/>
      <w:tcPr>
        <w:tcBorders>
          <w:top w:val="nil"/>
          <w:left w:val="single" w:color="C0504D" w:themeColor="accent2"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3" w:themeFill="accent2" w:themeFillTint="3F"/>
      </w:tcPr>
    </w:tblStylePr>
    <w:tblStylePr w:type="band1Horz">
      <w:tblPr/>
      <w:tcPr>
        <w:tcBorders>
          <w:top w:val="nil"/>
          <w:bottom w:val="nil"/>
          <w:insideH w:val="nil"/>
          <w:insideV w:val="nil"/>
        </w:tcBorders>
        <w:shd w:val="clear" w:color="auto" w:fill="EFD3D3"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79">
    <w:name w:val="Medium List 2 Accent 3"/>
    <w:basedOn w:val="32"/>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9BBB59" w:themeColor="accent3" w:sz="8" w:space="0"/>
        <w:left w:val="single" w:color="9BBB59" w:themeColor="accent3" w:sz="8" w:space="0"/>
        <w:bottom w:val="single" w:color="9BBB59" w:themeColor="accent3" w:sz="8" w:space="0"/>
        <w:right w:val="single" w:color="9BBB59" w:themeColor="accent3" w:sz="8" w:space="0"/>
      </w:tblBorders>
      <w:tblCellMar>
        <w:top w:w="0" w:type="dxa"/>
        <w:left w:w="108" w:type="dxa"/>
        <w:bottom w:w="0" w:type="dxa"/>
        <w:right w:w="108" w:type="dxa"/>
      </w:tblCellMar>
    </w:tblPr>
    <w:tblStylePr w:type="firstRow">
      <w:rPr>
        <w:sz w:val="24"/>
        <w:szCs w:val="24"/>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tblPr/>
      <w:tcPr>
        <w:tcBorders>
          <w:top w:val="single" w:color="9BBB59" w:themeColor="accent3"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9BBB59" w:themeColor="accent3" w:sz="8" w:space="0"/>
          <w:insideH w:val="nil"/>
          <w:insideV w:val="nil"/>
        </w:tcBorders>
        <w:shd w:val="clear" w:color="auto" w:fill="FFFFFF" w:themeFill="background1"/>
      </w:tcPr>
    </w:tblStylePr>
    <w:tblStylePr w:type="lastCol">
      <w:tblPr/>
      <w:tcPr>
        <w:tcBorders>
          <w:top w:val="nil"/>
          <w:left w:val="single" w:color="9BBB59" w:themeColor="accent3"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80">
    <w:name w:val="Medium List 2 Accent 4"/>
    <w:basedOn w:val="32"/>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8064A2" w:themeColor="accent4" w:sz="8" w:space="0"/>
        <w:left w:val="single" w:color="8064A2" w:themeColor="accent4" w:sz="8" w:space="0"/>
        <w:bottom w:val="single" w:color="8064A2" w:themeColor="accent4" w:sz="8" w:space="0"/>
        <w:right w:val="single" w:color="8064A2" w:themeColor="accent4" w:sz="8" w:space="0"/>
      </w:tblBorders>
      <w:tblCellMar>
        <w:top w:w="0" w:type="dxa"/>
        <w:left w:w="108" w:type="dxa"/>
        <w:bottom w:w="0" w:type="dxa"/>
        <w:right w:w="108" w:type="dxa"/>
      </w:tblCellMar>
    </w:tblPr>
    <w:tblStylePr w:type="firstRow">
      <w:rPr>
        <w:sz w:val="24"/>
        <w:szCs w:val="24"/>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tblPr/>
      <w:tcPr>
        <w:tcBorders>
          <w:top w:val="single" w:color="8064A2" w:themeColor="accent4"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8064A2" w:themeColor="accent4" w:sz="8" w:space="0"/>
          <w:insideH w:val="nil"/>
          <w:insideV w:val="nil"/>
        </w:tcBorders>
        <w:shd w:val="clear" w:color="auto" w:fill="FFFFFF" w:themeFill="background1"/>
      </w:tcPr>
    </w:tblStylePr>
    <w:tblStylePr w:type="lastCol">
      <w:tblPr/>
      <w:tcPr>
        <w:tcBorders>
          <w:top w:val="nil"/>
          <w:left w:val="single" w:color="8064A2" w:themeColor="accent4"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81">
    <w:name w:val="Medium List 2 Accent 5"/>
    <w:basedOn w:val="32"/>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BACC6" w:themeColor="accent5" w:sz="8" w:space="0"/>
        <w:left w:val="single" w:color="4BACC6" w:themeColor="accent5" w:sz="8" w:space="0"/>
        <w:bottom w:val="single" w:color="4BACC6" w:themeColor="accent5" w:sz="8" w:space="0"/>
        <w:right w:val="single" w:color="4BACC6" w:themeColor="accent5" w:sz="8" w:space="0"/>
      </w:tblBorders>
      <w:tblCellMar>
        <w:top w:w="0" w:type="dxa"/>
        <w:left w:w="108" w:type="dxa"/>
        <w:bottom w:w="0" w:type="dxa"/>
        <w:right w:w="108" w:type="dxa"/>
      </w:tblCellMar>
    </w:tblPr>
    <w:tblStylePr w:type="firstRow">
      <w:rPr>
        <w:sz w:val="24"/>
        <w:szCs w:val="24"/>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tblPr/>
      <w:tcPr>
        <w:tcBorders>
          <w:top w:val="single" w:color="4BACC6" w:themeColor="accent5"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BACC6" w:themeColor="accent5" w:sz="8" w:space="0"/>
          <w:insideH w:val="nil"/>
          <w:insideV w:val="nil"/>
        </w:tcBorders>
        <w:shd w:val="clear" w:color="auto" w:fill="FFFFFF" w:themeFill="background1"/>
      </w:tcPr>
    </w:tblStylePr>
    <w:tblStylePr w:type="lastCol">
      <w:tblPr/>
      <w:tcPr>
        <w:tcBorders>
          <w:top w:val="nil"/>
          <w:left w:val="single" w:color="4BACC6" w:themeColor="accent5"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0" w:themeFill="accent5" w:themeFillTint="3F"/>
      </w:tcPr>
    </w:tblStylePr>
    <w:tblStylePr w:type="band1Horz">
      <w:tblPr/>
      <w:tcPr>
        <w:tcBorders>
          <w:top w:val="nil"/>
          <w:bottom w:val="nil"/>
          <w:insideH w:val="nil"/>
          <w:insideV w:val="nil"/>
        </w:tcBorders>
        <w:shd w:val="clear" w:color="auto" w:fill="D2EAF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82">
    <w:name w:val="Medium List 2 Accent 6"/>
    <w:basedOn w:val="32"/>
    <w:uiPriority w:val="66"/>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F79646" w:themeColor="accent6" w:sz="8" w:space="0"/>
        <w:left w:val="single" w:color="F79646" w:themeColor="accent6" w:sz="8" w:space="0"/>
        <w:bottom w:val="single" w:color="F79646" w:themeColor="accent6" w:sz="8" w:space="0"/>
        <w:right w:val="single" w:color="F79646" w:themeColor="accent6" w:sz="8" w:space="0"/>
      </w:tblBorders>
      <w:tblCellMar>
        <w:top w:w="0" w:type="dxa"/>
        <w:left w:w="108" w:type="dxa"/>
        <w:bottom w:w="0" w:type="dxa"/>
        <w:right w:w="108" w:type="dxa"/>
      </w:tblCellMar>
    </w:tblPr>
    <w:tblStylePr w:type="firstRow">
      <w:rPr>
        <w:sz w:val="24"/>
        <w:szCs w:val="24"/>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tblPr/>
      <w:tcPr>
        <w:tcBorders>
          <w:top w:val="single" w:color="F79646" w:themeColor="accent6"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F79646" w:themeColor="accent6" w:sz="8" w:space="0"/>
          <w:insideH w:val="nil"/>
          <w:insideV w:val="nil"/>
        </w:tcBorders>
        <w:shd w:val="clear" w:color="auto" w:fill="FFFFFF" w:themeFill="background1"/>
      </w:tcPr>
    </w:tblStylePr>
    <w:tblStylePr w:type="lastCol">
      <w:tblPr/>
      <w:tcPr>
        <w:tcBorders>
          <w:top w:val="nil"/>
          <w:left w:val="single" w:color="F79646" w:themeColor="accent6"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5D1" w:themeFill="accent6" w:themeFillTint="3F"/>
      </w:tcPr>
    </w:tblStylePr>
    <w:tblStylePr w:type="band1Horz">
      <w:tblPr/>
      <w:tcPr>
        <w:tcBorders>
          <w:top w:val="nil"/>
          <w:bottom w:val="nil"/>
          <w:insideH w:val="nil"/>
          <w:insideV w:val="nil"/>
        </w:tcBorders>
        <w:shd w:val="clear" w:color="auto" w:fill="FDE5D1"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83">
    <w:name w:val="Medium Grid 1"/>
    <w:basedOn w:val="32"/>
    <w:uiPriority w:val="67"/>
    <w:pPr>
      <w:spacing w:after="0" w:line="240" w:lineRule="auto"/>
    </w:pPr>
    <w:tblPr>
      <w:tblBorders>
        <w:top w:val="single" w:color="3F3F3F" w:themeColor="text1" w:themeTint="BF" w:sz="8" w:space="0"/>
        <w:left w:val="single" w:color="3F3F3F" w:themeColor="text1" w:themeTint="BF" w:sz="8" w:space="0"/>
        <w:bottom w:val="single" w:color="3F3F3F" w:themeColor="text1" w:themeTint="BF" w:sz="8" w:space="0"/>
        <w:right w:val="single" w:color="3F3F3F" w:themeColor="text1" w:themeTint="BF" w:sz="8" w:space="0"/>
        <w:insideH w:val="single" w:color="3F3F3F" w:themeColor="text1" w:themeTint="BF" w:sz="8" w:space="0"/>
        <w:insideV w:val="single" w:color="3F3F3F" w:themeColor="text1" w:themeTint="BF" w:sz="8" w:space="0"/>
      </w:tblBorders>
      <w:tblCellMar>
        <w:top w:w="0" w:type="dxa"/>
        <w:left w:w="108" w:type="dxa"/>
        <w:bottom w:w="0" w:type="dxa"/>
        <w:right w:w="108" w:type="dxa"/>
      </w:tblCellMar>
    </w:tblPr>
    <w:tcPr>
      <w:shd w:val="clear" w:color="auto" w:fill="BFBFBF" w:themeFill="text1" w:themeFillTint="3F"/>
    </w:tcPr>
    <w:tblStylePr w:type="firstRow">
      <w:rPr>
        <w:b/>
        <w:bCs/>
      </w:rPr>
    </w:tblStylePr>
    <w:tblStylePr w:type="lastRow">
      <w:rPr>
        <w:b/>
        <w:bCs/>
      </w:rPr>
      <w:tblPr/>
      <w:tcPr>
        <w:tcBorders>
          <w:top w:val="single" w:color="3F3F3F" w:themeColor="text1" w:themeTint="BF" w:sz="18" w:space="0"/>
        </w:tcBorders>
      </w:tcPr>
    </w:tblStylePr>
    <w:tblStylePr w:type="firstCol">
      <w:rPr>
        <w:b/>
        <w:bCs/>
      </w:rPr>
    </w:tblStylePr>
    <w:tblStylePr w:type="lastCol">
      <w:rPr>
        <w:b/>
        <w:bCs/>
      </w:rPr>
    </w:tblStylePr>
    <w:tblStylePr w:type="band1Vert">
      <w:tblPr/>
      <w:tcPr>
        <w:shd w:val="clear" w:color="auto" w:fill="7F7F7F" w:themeFill="text1" w:themeFillTint="7F"/>
      </w:tcPr>
    </w:tblStylePr>
    <w:tblStylePr w:type="band1Horz">
      <w:tblPr/>
      <w:tcPr>
        <w:shd w:val="clear" w:color="auto" w:fill="7F7F7F" w:themeFill="text1" w:themeFillTint="7F"/>
      </w:tcPr>
    </w:tblStylePr>
  </w:style>
  <w:style w:type="table" w:styleId="84">
    <w:name w:val="Medium Grid 1 Accent 1"/>
    <w:basedOn w:val="32"/>
    <w:uiPriority w:val="67"/>
    <w:pPr>
      <w:spacing w:after="0" w:line="240" w:lineRule="auto"/>
    </w:pPr>
    <w:tblPr>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single" w:color="7BA0CD" w:themeColor="accent1" w:themeTint="BF" w:sz="8" w:space="0"/>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color="7BA0CD" w:themeColor="accent1" w:themeTint="BF" w:sz="18" w:space="0"/>
        </w:tcBorders>
      </w:tcPr>
    </w:tblStylePr>
    <w:tblStylePr w:type="firstCol">
      <w:rPr>
        <w:b/>
        <w:bCs/>
      </w:rPr>
    </w:tblStylePr>
    <w:tblStylePr w:type="lastCol">
      <w:rPr>
        <w:b/>
        <w:bCs/>
      </w:rPr>
    </w:tblStylePr>
    <w:tblStylePr w:type="band1Vert">
      <w:tblPr/>
      <w:tcPr>
        <w:shd w:val="clear" w:color="auto" w:fill="A7C0DE" w:themeFill="accent1" w:themeFillTint="7F"/>
      </w:tcPr>
    </w:tblStylePr>
    <w:tblStylePr w:type="band1Horz">
      <w:tblPr/>
      <w:tcPr>
        <w:shd w:val="clear" w:color="auto" w:fill="A7C0DE" w:themeFill="accent1" w:themeFillTint="7F"/>
      </w:tcPr>
    </w:tblStylePr>
  </w:style>
  <w:style w:type="table" w:styleId="85">
    <w:name w:val="Medium Grid 1 Accent 2"/>
    <w:basedOn w:val="32"/>
    <w:uiPriority w:val="67"/>
    <w:pPr>
      <w:spacing w:after="0" w:line="240" w:lineRule="auto"/>
    </w:pPr>
    <w:tblPr>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insideV w:val="single" w:color="CF7B79" w:themeColor="accent2" w:themeTint="BF" w:sz="8" w:space="0"/>
      </w:tblBorders>
      <w:tblCellMar>
        <w:top w:w="0" w:type="dxa"/>
        <w:left w:w="108" w:type="dxa"/>
        <w:bottom w:w="0" w:type="dxa"/>
        <w:right w:w="108" w:type="dxa"/>
      </w:tblCellMar>
    </w:tblPr>
    <w:tcPr>
      <w:shd w:val="clear" w:color="auto" w:fill="EFD3D3" w:themeFill="accent2" w:themeFillTint="3F"/>
    </w:tcPr>
    <w:tblStylePr w:type="firstRow">
      <w:rPr>
        <w:b/>
        <w:bCs/>
      </w:rPr>
    </w:tblStylePr>
    <w:tblStylePr w:type="lastRow">
      <w:rPr>
        <w:b/>
        <w:bCs/>
      </w:rPr>
      <w:tblPr/>
      <w:tcPr>
        <w:tcBorders>
          <w:top w:val="single" w:color="CF7B79" w:themeColor="accent2" w:themeTint="BF" w:sz="18" w:space="0"/>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86">
    <w:name w:val="Medium Grid 1 Accent 3"/>
    <w:basedOn w:val="32"/>
    <w:qFormat/>
    <w:uiPriority w:val="67"/>
    <w:pPr>
      <w:spacing w:after="0" w:line="240" w:lineRule="auto"/>
    </w:pPr>
    <w:tblPr>
      <w:tblBorders>
        <w:top w:val="single" w:color="B4CC82" w:themeColor="accent3" w:themeTint="BF" w:sz="8" w:space="0"/>
        <w:left w:val="single" w:color="B4CC82" w:themeColor="accent3" w:themeTint="BF" w:sz="8" w:space="0"/>
        <w:bottom w:val="single" w:color="B4CC82" w:themeColor="accent3" w:themeTint="BF" w:sz="8" w:space="0"/>
        <w:right w:val="single" w:color="B4CC82" w:themeColor="accent3" w:themeTint="BF" w:sz="8" w:space="0"/>
        <w:insideH w:val="single" w:color="B4CC82" w:themeColor="accent3" w:themeTint="BF" w:sz="8" w:space="0"/>
        <w:insideV w:val="single" w:color="B4CC82" w:themeColor="accent3" w:themeTint="BF" w:sz="8" w:space="0"/>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color="B4CC82" w:themeColor="accent3" w:themeTint="BF" w:sz="18" w:space="0"/>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87">
    <w:name w:val="Medium Grid 1 Accent 4"/>
    <w:basedOn w:val="32"/>
    <w:uiPriority w:val="67"/>
    <w:pPr>
      <w:spacing w:after="0" w:line="240" w:lineRule="auto"/>
    </w:pPr>
    <w:tblPr>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insideV w:val="single" w:color="9F8AB9" w:themeColor="accent4" w:themeTint="BF" w:sz="8" w:space="0"/>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color="9F8AB9" w:themeColor="accent4" w:themeTint="BF" w:sz="18" w:space="0"/>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88">
    <w:name w:val="Medium Grid 1 Accent 5"/>
    <w:basedOn w:val="32"/>
    <w:qFormat/>
    <w:uiPriority w:val="67"/>
    <w:pPr>
      <w:spacing w:after="0" w:line="240" w:lineRule="auto"/>
    </w:pPr>
    <w:tblPr>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insideV w:val="single" w:color="78C0D4" w:themeColor="accent5" w:themeTint="BF" w:sz="8" w:space="0"/>
      </w:tblBorders>
      <w:tblCellMar>
        <w:top w:w="0" w:type="dxa"/>
        <w:left w:w="108" w:type="dxa"/>
        <w:bottom w:w="0" w:type="dxa"/>
        <w:right w:w="108" w:type="dxa"/>
      </w:tblCellMar>
    </w:tblPr>
    <w:tcPr>
      <w:shd w:val="clear" w:color="auto" w:fill="D2EAF0" w:themeFill="accent5" w:themeFillTint="3F"/>
    </w:tcPr>
    <w:tblStylePr w:type="firstRow">
      <w:rPr>
        <w:b/>
        <w:bCs/>
      </w:rPr>
    </w:tblStylePr>
    <w:tblStylePr w:type="lastRow">
      <w:rPr>
        <w:b/>
        <w:bCs/>
      </w:rPr>
      <w:tblPr/>
      <w:tcPr>
        <w:tcBorders>
          <w:top w:val="single" w:color="78C0D4" w:themeColor="accent5" w:themeTint="BF" w:sz="18" w:space="0"/>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89">
    <w:name w:val="Medium Grid 1 Accent 6"/>
    <w:basedOn w:val="32"/>
    <w:uiPriority w:val="67"/>
    <w:pPr>
      <w:spacing w:after="0" w:line="240" w:lineRule="auto"/>
    </w:pPr>
    <w:tblPr>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insideV w:val="single" w:color="F9B074" w:themeColor="accent6" w:themeTint="BF" w:sz="8" w:space="0"/>
      </w:tblBorders>
      <w:tblCellMar>
        <w:top w:w="0" w:type="dxa"/>
        <w:left w:w="108" w:type="dxa"/>
        <w:bottom w:w="0" w:type="dxa"/>
        <w:right w:w="108" w:type="dxa"/>
      </w:tblCellMar>
    </w:tblPr>
    <w:tcPr>
      <w:shd w:val="clear" w:color="auto" w:fill="FDE5D1" w:themeFill="accent6" w:themeFillTint="3F"/>
    </w:tcPr>
    <w:tblStylePr w:type="firstRow">
      <w:rPr>
        <w:b/>
        <w:bCs/>
      </w:rPr>
    </w:tblStylePr>
    <w:tblStylePr w:type="lastRow">
      <w:rPr>
        <w:b/>
        <w:bCs/>
      </w:rPr>
      <w:tblPr/>
      <w:tcPr>
        <w:tcBorders>
          <w:top w:val="single" w:color="F9B074" w:themeColor="accent6" w:themeTint="BF" w:sz="18" w:space="0"/>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90">
    <w:name w:val="Medium Grid 2"/>
    <w:basedOn w:val="32"/>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
    <w:tcPr>
      <w:shd w:val="clear" w:color="auto" w:fill="BFBFBF" w:themeFill="text1" w:themeFillTint="3F"/>
    </w:tcPr>
    <w:tblStylePr w:type="firstRow">
      <w:rPr>
        <w:b/>
        <w:bCs/>
        <w:color w:val="000000" w:themeColor="text1"/>
        <w14:textFill>
          <w14:solidFill>
            <w14:schemeClr w14:val="tx1"/>
          </w14:solidFill>
        </w14:textFill>
      </w:rPr>
      <w:tblPr/>
      <w:tcPr>
        <w:shd w:val="clear" w:color="auto" w:fill="E5E5E5" w:themeFill="text1"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7F7F7F" w:themeFill="text1" w:themeFillTint="7F"/>
      </w:tcPr>
    </w:tblStylePr>
    <w:tblStylePr w:type="band1Horz">
      <w:tblPr/>
      <w:tcPr>
        <w:tcBorders>
          <w:insideH w:val="single" w:sz="6" w:space="0"/>
          <w:insideV w:val="single" w:sz="6" w:space="0"/>
        </w:tcBorders>
        <w:shd w:val="clear" w:color="auto" w:fill="7F7F7F" w:themeFill="text1" w:themeFillTint="7F"/>
      </w:tcPr>
    </w:tblStylePr>
    <w:tblStylePr w:type="nwCell">
      <w:tblPr/>
      <w:tcPr>
        <w:shd w:val="clear" w:color="auto" w:fill="FFFFFF" w:themeFill="background1"/>
      </w:tcPr>
    </w:tblStylePr>
  </w:style>
  <w:style w:type="table" w:styleId="91">
    <w:name w:val="Medium Grid 2 Accent 1"/>
    <w:basedOn w:val="32"/>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14:textFill>
          <w14:solidFill>
            <w14:schemeClr w14:val="tx1"/>
          </w14:solidFill>
        </w14:textFill>
      </w:rPr>
      <w:tblPr/>
      <w:tcPr>
        <w:shd w:val="clear" w:color="auto" w:fill="EDF2F8" w:themeFill="accent1"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C0DE" w:themeFill="accent1" w:themeFillTint="7F"/>
      </w:tcPr>
    </w:tblStylePr>
    <w:tblStylePr w:type="band1Horz">
      <w:tblPr/>
      <w:tcPr>
        <w:tcBorders>
          <w:insideH w:val="single" w:sz="6" w:space="0"/>
          <w:insideV w:val="single" w:sz="6" w:space="0"/>
        </w:tcBorders>
        <w:shd w:val="clear" w:color="auto" w:fill="A7C0DE" w:themeFill="accent1" w:themeFillTint="7F"/>
      </w:tcPr>
    </w:tblStylePr>
    <w:tblStylePr w:type="nwCell">
      <w:tblPr/>
      <w:tcPr>
        <w:shd w:val="clear" w:color="auto" w:fill="FFFFFF" w:themeFill="background1"/>
      </w:tcPr>
    </w:tblStylePr>
  </w:style>
  <w:style w:type="table" w:styleId="92">
    <w:name w:val="Medium Grid 2 Accent 2"/>
    <w:basedOn w:val="32"/>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CellMar>
        <w:top w:w="0" w:type="dxa"/>
        <w:left w:w="108" w:type="dxa"/>
        <w:bottom w:w="0" w:type="dxa"/>
        <w:right w:w="108" w:type="dxa"/>
      </w:tblCellMar>
    </w:tblPr>
    <w:tcPr>
      <w:shd w:val="clear" w:color="auto" w:fill="EFD3D3" w:themeFill="accent2" w:themeFillTint="3F"/>
    </w:tcPr>
    <w:tblStylePr w:type="firstRow">
      <w:rPr>
        <w:b/>
        <w:bCs/>
        <w:color w:val="000000" w:themeColor="text1"/>
        <w14:textFill>
          <w14:solidFill>
            <w14:schemeClr w14:val="tx1"/>
          </w14:solidFill>
        </w14:textFill>
      </w:rPr>
      <w:tblPr/>
      <w:tcPr>
        <w:shd w:val="clear" w:color="auto" w:fill="F8EDED" w:themeFill="accent2"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insideV w:val="single" w:sz="6" w:space="0"/>
        </w:tcBorders>
        <w:shd w:val="clear" w:color="auto" w:fill="DFA7A6" w:themeFill="accent2" w:themeFillTint="7F"/>
      </w:tcPr>
    </w:tblStylePr>
    <w:tblStylePr w:type="nwCell">
      <w:tblPr/>
      <w:tcPr>
        <w:shd w:val="clear" w:color="auto" w:fill="FFFFFF" w:themeFill="background1"/>
      </w:tcPr>
    </w:tblStylePr>
  </w:style>
  <w:style w:type="table" w:styleId="93">
    <w:name w:val="Medium Grid 2 Accent 3"/>
    <w:basedOn w:val="32"/>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14:textFill>
          <w14:solidFill>
            <w14:schemeClr w14:val="tx1"/>
          </w14:solidFill>
        </w14:textFill>
      </w:rPr>
      <w:tblPr/>
      <w:tcPr>
        <w:shd w:val="clear" w:color="auto" w:fill="F5F8EE" w:themeFill="accent3"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insideV w:val="single" w:sz="6" w:space="0"/>
        </w:tcBorders>
        <w:shd w:val="clear" w:color="auto" w:fill="CDDDAC" w:themeFill="accent3" w:themeFillTint="7F"/>
      </w:tcPr>
    </w:tblStylePr>
    <w:tblStylePr w:type="nwCell">
      <w:tblPr/>
      <w:tcPr>
        <w:shd w:val="clear" w:color="auto" w:fill="FFFFFF" w:themeFill="background1"/>
      </w:tcPr>
    </w:tblStylePr>
  </w:style>
  <w:style w:type="table" w:styleId="94">
    <w:name w:val="Medium Grid 2 Accent 4"/>
    <w:basedOn w:val="32"/>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14:textFill>
          <w14:solidFill>
            <w14:schemeClr w14:val="tx1"/>
          </w14:solidFill>
        </w14:textFill>
      </w:rPr>
      <w:tblPr/>
      <w:tcPr>
        <w:shd w:val="clear" w:color="auto" w:fill="F2EFF5" w:themeFill="accent4"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insideV w:val="single" w:sz="6" w:space="0"/>
        </w:tcBorders>
        <w:shd w:val="clear" w:color="auto" w:fill="BFB1D0" w:themeFill="accent4" w:themeFillTint="7F"/>
      </w:tcPr>
    </w:tblStylePr>
    <w:tblStylePr w:type="nwCell">
      <w:tblPr/>
      <w:tcPr>
        <w:shd w:val="clear" w:color="auto" w:fill="FFFFFF" w:themeFill="background1"/>
      </w:tcPr>
    </w:tblStylePr>
  </w:style>
  <w:style w:type="table" w:styleId="95">
    <w:name w:val="Medium Grid 2 Accent 5"/>
    <w:basedOn w:val="32"/>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CellMar>
        <w:top w:w="0" w:type="dxa"/>
        <w:left w:w="108" w:type="dxa"/>
        <w:bottom w:w="0" w:type="dxa"/>
        <w:right w:w="108" w:type="dxa"/>
      </w:tblCellMar>
    </w:tblPr>
    <w:tcPr>
      <w:shd w:val="clear" w:color="auto" w:fill="D2EAF0" w:themeFill="accent5" w:themeFillTint="3F"/>
    </w:tcPr>
    <w:tblStylePr w:type="firstRow">
      <w:rPr>
        <w:b/>
        <w:bCs/>
        <w:color w:val="000000" w:themeColor="text1"/>
        <w14:textFill>
          <w14:solidFill>
            <w14:schemeClr w14:val="tx1"/>
          </w14:solidFill>
        </w14:textFill>
      </w:rPr>
      <w:tblPr/>
      <w:tcPr>
        <w:shd w:val="clear" w:color="auto" w:fill="EDF6F9" w:themeFill="accent5"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insideV w:val="single" w:sz="6" w:space="0"/>
        </w:tcBorders>
        <w:shd w:val="clear" w:color="auto" w:fill="A5D5E2" w:themeFill="accent5" w:themeFillTint="7F"/>
      </w:tcPr>
    </w:tblStylePr>
    <w:tblStylePr w:type="nwCell">
      <w:tblPr/>
      <w:tcPr>
        <w:shd w:val="clear" w:color="auto" w:fill="FFFFFF" w:themeFill="background1"/>
      </w:tcPr>
    </w:tblStylePr>
  </w:style>
  <w:style w:type="table" w:styleId="96">
    <w:name w:val="Medium Grid 2 Accent 6"/>
    <w:basedOn w:val="32"/>
    <w:uiPriority w:val="68"/>
    <w:pPr>
      <w:spacing w:after="0" w:line="240" w:lineRule="auto"/>
    </w:pPr>
    <w:rPr>
      <w:rFonts w:asciiTheme="majorHAnsi" w:hAnsiTheme="majorHAnsi" w:eastAsiaTheme="majorEastAsia" w:cstheme="majorBidi"/>
      <w:color w:val="000000" w:themeColor="text1"/>
      <w14:textFill>
        <w14:solidFill>
          <w14:schemeClr w14:val="tx1"/>
        </w14:solidFill>
      </w14:textFill>
    </w:rPr>
    <w:tblPr>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CellMar>
        <w:top w:w="0" w:type="dxa"/>
        <w:left w:w="108" w:type="dxa"/>
        <w:bottom w:w="0" w:type="dxa"/>
        <w:right w:w="108" w:type="dxa"/>
      </w:tblCellMar>
    </w:tblPr>
    <w:tcPr>
      <w:shd w:val="clear" w:color="auto" w:fill="FDE5D1" w:themeFill="accent6" w:themeFillTint="3F"/>
    </w:tcPr>
    <w:tblStylePr w:type="firstRow">
      <w:rPr>
        <w:b/>
        <w:bCs/>
        <w:color w:val="000000" w:themeColor="text1"/>
        <w14:textFill>
          <w14:solidFill>
            <w14:schemeClr w14:val="tx1"/>
          </w14:solidFill>
        </w14:textFill>
      </w:rPr>
      <w:tblPr/>
      <w:tcPr>
        <w:shd w:val="clear" w:color="auto" w:fill="FEF4EC" w:themeFill="accent6" w:themeFillTint="19"/>
      </w:tcPr>
    </w:tblStylePr>
    <w:tblStylePr w:type="lastRow">
      <w:rPr>
        <w:b/>
        <w:bCs/>
        <w:color w:val="000000" w:themeColor="text1"/>
        <w14:textFill>
          <w14:solidFill>
            <w14:schemeClr w14:val="tx1"/>
          </w14:solidFill>
        </w14:textFill>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14:textFill>
          <w14:solidFill>
            <w14:schemeClr w14:val="tx1"/>
          </w14:solidFill>
        </w14:textFill>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14:textFill>
          <w14:solidFill>
            <w14:schemeClr w14:val="tx1"/>
          </w14:solidFill>
        </w14:textFill>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insideV w:val="single" w:sz="6" w:space="0"/>
        </w:tcBorders>
        <w:shd w:val="clear" w:color="auto" w:fill="FBCAA2" w:themeFill="accent6" w:themeFillTint="7F"/>
      </w:tcPr>
    </w:tblStylePr>
    <w:tblStylePr w:type="nwCell">
      <w:tblPr/>
      <w:tcPr>
        <w:shd w:val="clear" w:color="auto" w:fill="FFFFFF" w:themeFill="background1"/>
      </w:tcPr>
    </w:tblStylePr>
  </w:style>
  <w:style w:type="table" w:styleId="97">
    <w:name w:val="Medium Grid 3"/>
    <w:basedOn w:val="32"/>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BFBFBF" w:themeFill="text1"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000000" w:themeFill="text1"/>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000000" w:themeFill="text1"/>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000000" w:themeFill="tex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7F7F7F" w:themeFill="tex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7F7F7F" w:themeFill="text1" w:themeFillTint="7F"/>
      </w:tcPr>
    </w:tblStylePr>
  </w:style>
  <w:style w:type="table" w:styleId="98">
    <w:name w:val="Medium Grid 3 Accent 1"/>
    <w:basedOn w:val="32"/>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4F81BD" w:themeFill="accent1"/>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4F81BD" w:themeFill="accent1"/>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4F81BD"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C0DE"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A7C0DE" w:themeFill="accent1" w:themeFillTint="7F"/>
      </w:tcPr>
    </w:tblStylePr>
  </w:style>
  <w:style w:type="table" w:styleId="99">
    <w:name w:val="Medium Grid 3 Accent 2"/>
    <w:basedOn w:val="32"/>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EFD3D3" w:themeFill="accent2"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C0504D" w:themeFill="accent2"/>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C0504D" w:themeFill="accent2"/>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C0504D" w:themeFill="accent2"/>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C0504D" w:themeFill="accent2"/>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DFA7A6" w:themeFill="accent2"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DFA7A6" w:themeFill="accent2" w:themeFillTint="7F"/>
      </w:tcPr>
    </w:tblStylePr>
  </w:style>
  <w:style w:type="table" w:styleId="100">
    <w:name w:val="Medium Grid 3 Accent 3"/>
    <w:basedOn w:val="32"/>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9BBB59" w:themeFill="accent3"/>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9BBB59" w:themeFill="accent3"/>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9BBB59" w:themeFill="accent3"/>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9BBB59" w:themeFill="accent3"/>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DDDAC" w:themeFill="accent3"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CDDDAC" w:themeFill="accent3" w:themeFillTint="7F"/>
      </w:tcPr>
    </w:tblStylePr>
  </w:style>
  <w:style w:type="table" w:styleId="101">
    <w:name w:val="Medium Grid 3 Accent 4"/>
    <w:basedOn w:val="32"/>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8064A2" w:themeFill="accent4"/>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8064A2" w:themeFill="accent4"/>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8064A2" w:themeFill="accent4"/>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8064A2" w:themeFill="accent4"/>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FB1D0" w:themeFill="accent4"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BFB1D0" w:themeFill="accent4" w:themeFillTint="7F"/>
      </w:tcPr>
    </w:tblStylePr>
  </w:style>
  <w:style w:type="table" w:styleId="102">
    <w:name w:val="Medium Grid 3 Accent 5"/>
    <w:basedOn w:val="32"/>
    <w:qFormat/>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2EAF0" w:themeFill="accent5"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4BACC6" w:themeFill="accent5"/>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4BACC6" w:themeFill="accent5"/>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4BACC6" w:themeFill="accent5"/>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4BACC6" w:themeFill="accent5"/>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5D5E2" w:themeFill="accent5"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A5D5E2" w:themeFill="accent5" w:themeFillTint="7F"/>
      </w:tcPr>
    </w:tblStylePr>
  </w:style>
  <w:style w:type="table" w:styleId="103">
    <w:name w:val="Medium Grid 3 Accent 6"/>
    <w:basedOn w:val="32"/>
    <w:uiPriority w:val="69"/>
    <w:pPr>
      <w:spacing w:after="0" w:line="240" w:lineRule="auto"/>
    </w:pPr>
    <w:tblPr>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FDE5D1" w:themeFill="accent6" w:themeFillTint="3F"/>
    </w:tcPr>
    <w:tblStylePr w:type="firstRow">
      <w:rPr>
        <w:b/>
        <w:bCs/>
        <w:i w:val="0"/>
        <w:iCs w:val="0"/>
        <w:color w:val="FFFFFF" w:themeColor="background1"/>
        <w14:textFill>
          <w14:solidFill>
            <w14:schemeClr w14:val="bg1"/>
          </w14:solidFill>
        </w14:textFill>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sz="8" w:space="0"/>
        </w:tcBorders>
        <w:shd w:val="clear" w:color="auto" w:fill="F79646" w:themeFill="accent6"/>
      </w:tcPr>
    </w:tblStylePr>
    <w:tblStylePr w:type="lastRow">
      <w:rPr>
        <w:b/>
        <w:bCs/>
        <w:i w:val="0"/>
        <w:iCs w:val="0"/>
        <w:color w:val="FFFFFF" w:themeColor="background1"/>
        <w14:textFill>
          <w14:solidFill>
            <w14:schemeClr w14:val="bg1"/>
          </w14:solidFill>
        </w14:textFill>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sz="8" w:space="0"/>
        </w:tcBorders>
        <w:shd w:val="clear" w:color="auto" w:fill="F79646" w:themeFill="accent6"/>
      </w:tcPr>
    </w:tblStylePr>
    <w:tblStylePr w:type="firstCol">
      <w:rPr>
        <w:b/>
        <w:bCs/>
        <w:i w:val="0"/>
        <w:iCs w:val="0"/>
        <w:color w:val="FFFFFF" w:themeColor="background1"/>
        <w14:textFill>
          <w14:solidFill>
            <w14:schemeClr w14:val="bg1"/>
          </w14:solidFill>
        </w14:textFill>
      </w:rPr>
      <w:tbl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lastCol">
      <w:rPr>
        <w:b/>
        <w:bCs/>
        <w:i w:val="0"/>
        <w:iCs w:val="0"/>
        <w:color w:val="FFFFFF" w:themeColor="background1"/>
        <w14:textFill>
          <w14:solidFill>
            <w14:schemeClr w14:val="bg1"/>
          </w14:solidFill>
        </w14:textFill>
      </w:rPr>
      <w:tblPr/>
      <w:tcPr>
        <w:tcBorders>
          <w:top w:val="nil"/>
          <w:left w:val="single" w:color="FFFFFF" w:themeColor="background1" w:sz="24" w:space="0"/>
          <w:bottom w:val="nil"/>
          <w:right w:val="nil"/>
          <w:insideH w:val="nil"/>
          <w:insideV w:val="nil"/>
        </w:tcBorders>
        <w:shd w:val="clear" w:color="auto" w:fill="F79646"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sz="8" w:space="0"/>
          <w:insideV w:val="single" w:sz="8" w:space="0"/>
        </w:tcBorders>
        <w:shd w:val="clear" w:color="auto" w:fill="FBCAA2" w:themeFill="accent6" w:themeFillTint="7F"/>
      </w:tcPr>
    </w:tblStylePr>
  </w:style>
  <w:style w:type="table" w:styleId="104">
    <w:name w:val="Dark List"/>
    <w:basedOn w:val="32"/>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lastCol">
      <w:tblPr/>
      <w:tcPr>
        <w:tcBorders>
          <w:top w:val="nil"/>
          <w:left w:val="single" w:color="FFFFFF" w:themeColor="background1" w:sz="18" w:space="0"/>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05">
    <w:name w:val="Dark List Accent 1"/>
    <w:basedOn w:val="32"/>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43F61" w:themeFill="accent1" w:themeFillShade="7F"/>
      </w:tcPr>
    </w:tblStylePr>
    <w:tblStylePr w:type="firstCol">
      <w:tblPr/>
      <w:tcPr>
        <w:tcBorders>
          <w:top w:val="nil"/>
          <w:left w:val="nil"/>
          <w:bottom w:val="nil"/>
          <w:right w:val="single" w:color="FFFFFF" w:themeColor="background1" w:sz="18" w:space="0"/>
          <w:insideH w:val="nil"/>
          <w:insideV w:val="nil"/>
        </w:tcBorders>
        <w:shd w:val="clear" w:color="auto" w:fill="366091" w:themeFill="accent1" w:themeFillShade="BF"/>
      </w:tcPr>
    </w:tblStylePr>
    <w:tblStylePr w:type="lastCol">
      <w:tblPr/>
      <w:tcPr>
        <w:tcBorders>
          <w:top w:val="nil"/>
          <w:left w:val="single" w:color="FFFFFF" w:themeColor="background1" w:sz="18" w:space="0"/>
          <w:bottom w:val="nil"/>
          <w:right w:val="nil"/>
          <w:insideH w:val="nil"/>
          <w:insideV w:val="nil"/>
        </w:tcBorders>
        <w:shd w:val="clear" w:color="auto" w:fill="366091" w:themeFill="accent1" w:themeFillShade="BF"/>
      </w:tcPr>
    </w:tblStylePr>
    <w:tblStylePr w:type="band1Vert">
      <w:tblPr/>
      <w:tcPr>
        <w:tcBorders>
          <w:top w:val="nil"/>
          <w:left w:val="nil"/>
          <w:bottom w:val="nil"/>
          <w:right w:val="nil"/>
          <w:insideH w:val="nil"/>
          <w:insideV w:val="nil"/>
        </w:tcBorders>
        <w:shd w:val="clear" w:color="auto" w:fill="366091" w:themeFill="accent1" w:themeFillShade="BF"/>
      </w:tcPr>
    </w:tblStylePr>
    <w:tblStylePr w:type="band1Horz">
      <w:tblPr/>
      <w:tcPr>
        <w:tcBorders>
          <w:top w:val="nil"/>
          <w:left w:val="nil"/>
          <w:bottom w:val="nil"/>
          <w:right w:val="nil"/>
          <w:insideH w:val="nil"/>
          <w:insideV w:val="nil"/>
        </w:tcBorders>
        <w:shd w:val="clear" w:color="auto" w:fill="366091" w:themeFill="accent1" w:themeFillShade="BF"/>
      </w:tcPr>
    </w:tblStylePr>
  </w:style>
  <w:style w:type="table" w:styleId="106">
    <w:name w:val="Dark List Accent 2"/>
    <w:basedOn w:val="32"/>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color="FFFFFF" w:themeColor="background1" w:sz="18" w:space="0"/>
          <w:insideH w:val="nil"/>
          <w:insideV w:val="nil"/>
        </w:tcBorders>
        <w:shd w:val="clear" w:color="auto" w:fill="943734" w:themeFill="accent2" w:themeFillShade="BF"/>
      </w:tcPr>
    </w:tblStylePr>
    <w:tblStylePr w:type="lastCol">
      <w:tblPr/>
      <w:tcPr>
        <w:tcBorders>
          <w:top w:val="nil"/>
          <w:left w:val="single" w:color="FFFFFF" w:themeColor="background1" w:sz="18" w:space="0"/>
          <w:bottom w:val="nil"/>
          <w:right w:val="nil"/>
          <w:insideH w:val="nil"/>
          <w:insideV w:val="nil"/>
        </w:tcBorders>
        <w:shd w:val="clear" w:color="auto" w:fill="943734" w:themeFill="accent2" w:themeFillShade="BF"/>
      </w:tcPr>
    </w:tblStylePr>
    <w:tblStylePr w:type="band1Vert">
      <w:tblPr/>
      <w:tcPr>
        <w:tcBorders>
          <w:top w:val="nil"/>
          <w:left w:val="nil"/>
          <w:bottom w:val="nil"/>
          <w:right w:val="nil"/>
          <w:insideH w:val="nil"/>
          <w:insideV w:val="nil"/>
        </w:tcBorders>
        <w:shd w:val="clear" w:color="auto" w:fill="943734" w:themeFill="accent2" w:themeFillShade="BF"/>
      </w:tcPr>
    </w:tblStylePr>
    <w:tblStylePr w:type="band1Horz">
      <w:tblPr/>
      <w:tcPr>
        <w:tcBorders>
          <w:top w:val="nil"/>
          <w:left w:val="nil"/>
          <w:bottom w:val="nil"/>
          <w:right w:val="nil"/>
          <w:insideH w:val="nil"/>
          <w:insideV w:val="nil"/>
        </w:tcBorders>
        <w:shd w:val="clear" w:color="auto" w:fill="943734" w:themeFill="accent2" w:themeFillShade="BF"/>
      </w:tcPr>
    </w:tblStylePr>
  </w:style>
  <w:style w:type="table" w:styleId="107">
    <w:name w:val="Dark List Accent 3"/>
    <w:basedOn w:val="32"/>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4E6127" w:themeFill="accent3" w:themeFillShade="7F"/>
      </w:tcPr>
    </w:tblStylePr>
    <w:tblStylePr w:type="firstCol">
      <w:tblPr/>
      <w:tcPr>
        <w:tcBorders>
          <w:top w:val="nil"/>
          <w:left w:val="nil"/>
          <w:bottom w:val="nil"/>
          <w:right w:val="single" w:color="FFFFFF" w:themeColor="background1" w:sz="18" w:space="0"/>
          <w:insideH w:val="nil"/>
          <w:insideV w:val="nil"/>
        </w:tcBorders>
        <w:shd w:val="clear" w:color="auto" w:fill="76923C" w:themeFill="accent3" w:themeFillShade="BF"/>
      </w:tcPr>
    </w:tblStylePr>
    <w:tblStylePr w:type="lastCol">
      <w:tblPr/>
      <w:tcPr>
        <w:tcBorders>
          <w:top w:val="nil"/>
          <w:left w:val="single" w:color="FFFFFF" w:themeColor="background1" w:sz="18" w:space="0"/>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108">
    <w:name w:val="Dark List Accent 4"/>
    <w:basedOn w:val="32"/>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3F3051" w:themeFill="accent4" w:themeFillShade="7F"/>
      </w:tcPr>
    </w:tblStylePr>
    <w:tblStylePr w:type="firstCol">
      <w:tblPr/>
      <w:tcPr>
        <w:tcBorders>
          <w:top w:val="nil"/>
          <w:left w:val="nil"/>
          <w:bottom w:val="nil"/>
          <w:right w:val="single" w:color="FFFFFF" w:themeColor="background1" w:sz="18" w:space="0"/>
          <w:insideH w:val="nil"/>
          <w:insideV w:val="nil"/>
        </w:tcBorders>
        <w:shd w:val="clear" w:color="auto" w:fill="5F497A" w:themeFill="accent4" w:themeFillShade="BF"/>
      </w:tcPr>
    </w:tblStylePr>
    <w:tblStylePr w:type="lastCol">
      <w:tblPr/>
      <w:tcPr>
        <w:tcBorders>
          <w:top w:val="nil"/>
          <w:left w:val="single" w:color="FFFFFF" w:themeColor="background1" w:sz="18" w:space="0"/>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109">
    <w:name w:val="Dark List Accent 5"/>
    <w:basedOn w:val="32"/>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color="FFFFFF" w:themeColor="background1" w:sz="18" w:space="0"/>
          <w:insideH w:val="nil"/>
          <w:insideV w:val="nil"/>
        </w:tcBorders>
        <w:shd w:val="clear" w:color="auto" w:fill="31849B" w:themeFill="accent5" w:themeFillShade="BF"/>
      </w:tcPr>
    </w:tblStylePr>
    <w:tblStylePr w:type="lastCol">
      <w:tblPr/>
      <w:tcPr>
        <w:tcBorders>
          <w:top w:val="nil"/>
          <w:left w:val="single" w:color="FFFFFF" w:themeColor="background1" w:sz="18" w:space="0"/>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110">
    <w:name w:val="Dark List Accent 6"/>
    <w:basedOn w:val="32"/>
    <w:uiPriority w:val="70"/>
    <w:pPr>
      <w:spacing w:after="0" w:line="240" w:lineRule="auto"/>
    </w:pPr>
    <w:rPr>
      <w:color w:val="FFFFFF" w:themeColor="background1"/>
      <w14:textFill>
        <w14:solidFill>
          <w14:schemeClr w14:val="bg1"/>
        </w14:solidFill>
      </w14:textFill>
    </w:rPr>
    <w:tblPr>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color="FFFFFF" w:themeColor="background1" w:sz="18" w:space="0"/>
          <w:insideH w:val="nil"/>
          <w:insideV w:val="nil"/>
        </w:tcBorders>
        <w:shd w:val="clear" w:color="auto" w:fill="E36C09" w:themeFill="accent6" w:themeFillShade="BF"/>
      </w:tcPr>
    </w:tblStylePr>
    <w:tblStylePr w:type="lastCol">
      <w:tblPr/>
      <w:tcPr>
        <w:tcBorders>
          <w:top w:val="nil"/>
          <w:left w:val="single" w:color="FFFFFF" w:themeColor="background1" w:sz="18" w:space="0"/>
          <w:bottom w:val="nil"/>
          <w:right w:val="nil"/>
          <w:insideH w:val="nil"/>
          <w:insideV w:val="nil"/>
        </w:tcBorders>
        <w:shd w:val="clear" w:color="auto" w:fill="E36C09" w:themeFill="accent6" w:themeFillShade="BF"/>
      </w:tcPr>
    </w:tblStylePr>
    <w:tblStylePr w:type="band1Vert">
      <w:tblPr/>
      <w:tcPr>
        <w:tcBorders>
          <w:top w:val="nil"/>
          <w:left w:val="nil"/>
          <w:bottom w:val="nil"/>
          <w:right w:val="nil"/>
          <w:insideH w:val="nil"/>
          <w:insideV w:val="nil"/>
        </w:tcBorders>
        <w:shd w:val="clear" w:color="auto" w:fill="E36C09" w:themeFill="accent6" w:themeFillShade="BF"/>
      </w:tcPr>
    </w:tblStylePr>
    <w:tblStylePr w:type="band1Horz">
      <w:tblPr/>
      <w:tcPr>
        <w:tcBorders>
          <w:top w:val="nil"/>
          <w:left w:val="nil"/>
          <w:bottom w:val="nil"/>
          <w:right w:val="nil"/>
          <w:insideH w:val="nil"/>
          <w:insideV w:val="nil"/>
        </w:tcBorders>
        <w:shd w:val="clear" w:color="auto" w:fill="E36C09" w:themeFill="accent6" w:themeFillShade="BF"/>
      </w:tcPr>
    </w:tblStylePr>
  </w:style>
  <w:style w:type="table" w:styleId="111">
    <w:name w:val="Colorful Shading"/>
    <w:basedOn w:val="32"/>
    <w:uiPriority w:val="71"/>
    <w:pPr>
      <w:spacing w:after="0" w:line="240" w:lineRule="auto"/>
    </w:pPr>
    <w:rPr>
      <w:color w:val="000000" w:themeColor="text1"/>
      <w14:textFill>
        <w14:solidFill>
          <w14:schemeClr w14:val="tx1"/>
        </w14:solidFill>
      </w14:textFill>
    </w:rPr>
    <w:tblPr>
      <w:tblBorders>
        <w:top w:val="single" w:color="C0504D"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5E5E5" w:themeFill="tex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000000" w:themeFill="text1"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000000" w:themeFill="text1"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7F7F7F" w:themeFill="text1"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2">
    <w:name w:val="Colorful Shading Accent 1"/>
    <w:basedOn w:val="32"/>
    <w:uiPriority w:val="71"/>
    <w:pPr>
      <w:spacing w:after="0" w:line="240" w:lineRule="auto"/>
    </w:pPr>
    <w:rPr>
      <w:color w:val="000000" w:themeColor="text1"/>
      <w14:textFill>
        <w14:solidFill>
          <w14:schemeClr w14:val="tx1"/>
        </w14:solidFill>
      </w14:textFill>
    </w:rPr>
    <w:tblPr>
      <w:tblBorders>
        <w:top w:val="single" w:color="C0504D" w:themeColor="accent2" w:sz="24" w:space="0"/>
        <w:left w:val="single" w:color="4F81BD" w:themeColor="accent1" w:sz="4" w:space="0"/>
        <w:bottom w:val="single" w:color="4F81BD" w:themeColor="accent1" w:sz="4" w:space="0"/>
        <w:right w:val="single" w:color="4F81BD" w:themeColor="accent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2B4D74" w:themeFill="accent1"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2B4D74" w:themeFill="accent1"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2B4D74" w:themeFill="accent1" w:themeFillShade="99"/>
      </w:tcPr>
    </w:tblStylePr>
    <w:tblStylePr w:type="band1Vert">
      <w:tblPr/>
      <w:tcPr>
        <w:shd w:val="clear" w:color="auto" w:fill="B8CCE4" w:themeFill="accent1" w:themeFillTint="66"/>
      </w:tcPr>
    </w:tblStylePr>
    <w:tblStylePr w:type="band1Horz">
      <w:tblPr/>
      <w:tcPr>
        <w:shd w:val="clear" w:color="auto" w:fill="A7C0DE" w:themeFill="accent1"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3">
    <w:name w:val="Colorful Shading Accent 2"/>
    <w:basedOn w:val="32"/>
    <w:qFormat/>
    <w:uiPriority w:val="71"/>
    <w:pPr>
      <w:spacing w:after="0" w:line="240" w:lineRule="auto"/>
    </w:pPr>
    <w:rPr>
      <w:color w:val="000000" w:themeColor="text1"/>
      <w14:textFill>
        <w14:solidFill>
          <w14:schemeClr w14:val="tx1"/>
        </w14:solidFill>
      </w14:textFill>
    </w:rPr>
    <w:tblPr>
      <w:tblBorders>
        <w:top w:val="single" w:color="C0504D" w:themeColor="accent2" w:sz="24" w:space="0"/>
        <w:left w:val="single" w:color="C0504D" w:themeColor="accent2" w:sz="4" w:space="0"/>
        <w:bottom w:val="single" w:color="C0504D" w:themeColor="accent2" w:sz="4" w:space="0"/>
        <w:right w:val="single" w:color="C0504D" w:themeColor="accent2"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772C2A" w:themeFill="accent2"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772C2A" w:themeFill="accent2"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4">
    <w:name w:val="Colorful Shading Accent 3"/>
    <w:basedOn w:val="32"/>
    <w:uiPriority w:val="71"/>
    <w:pPr>
      <w:spacing w:after="0" w:line="240" w:lineRule="auto"/>
    </w:pPr>
    <w:rPr>
      <w:color w:val="000000" w:themeColor="text1"/>
      <w14:textFill>
        <w14:solidFill>
          <w14:schemeClr w14:val="tx1"/>
        </w14:solidFill>
      </w14:textFill>
    </w:rPr>
    <w:tblPr>
      <w:tblBorders>
        <w:top w:val="single" w:color="8064A2" w:themeColor="accent4" w:sz="24" w:space="0"/>
        <w:left w:val="single" w:color="9BBB59" w:themeColor="accent3" w:sz="4" w:space="0"/>
        <w:bottom w:val="single" w:color="9BBB59" w:themeColor="accent3" w:sz="4" w:space="0"/>
        <w:right w:val="single" w:color="9BBB59" w:themeColor="accent3"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5E7530" w:themeFill="accent3"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5E7530" w:themeFill="accent3"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115">
    <w:name w:val="Colorful Shading Accent 4"/>
    <w:basedOn w:val="32"/>
    <w:uiPriority w:val="71"/>
    <w:pPr>
      <w:spacing w:after="0" w:line="240" w:lineRule="auto"/>
    </w:pPr>
    <w:rPr>
      <w:color w:val="000000" w:themeColor="text1"/>
      <w14:textFill>
        <w14:solidFill>
          <w14:schemeClr w14:val="tx1"/>
        </w14:solidFill>
      </w14:textFill>
    </w:rPr>
    <w:tblPr>
      <w:tblBorders>
        <w:top w:val="single" w:color="9BBB59" w:themeColor="accent3" w:sz="24" w:space="0"/>
        <w:left w:val="single" w:color="8064A2" w:themeColor="accent4" w:sz="4" w:space="0"/>
        <w:bottom w:val="single" w:color="8064A2" w:themeColor="accent4" w:sz="4" w:space="0"/>
        <w:right w:val="single" w:color="8064A2" w:themeColor="accent4"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2EFF5" w:themeFill="accent4" w:themeFillTint="19"/>
    </w:tcPr>
    <w:tblStylePr w:type="firstRow">
      <w:rPr>
        <w:b/>
        <w:bCs/>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4C3A62" w:themeFill="accent4"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4C3A62" w:themeFill="accent4"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4C3A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6">
    <w:name w:val="Colorful Shading Accent 5"/>
    <w:basedOn w:val="32"/>
    <w:uiPriority w:val="71"/>
    <w:pPr>
      <w:spacing w:after="0" w:line="240" w:lineRule="auto"/>
    </w:pPr>
    <w:rPr>
      <w:color w:val="000000" w:themeColor="text1"/>
      <w14:textFill>
        <w14:solidFill>
          <w14:schemeClr w14:val="tx1"/>
        </w14:solidFill>
      </w14:textFill>
    </w:rPr>
    <w:tblPr>
      <w:tblBorders>
        <w:top w:val="single" w:color="F79646" w:themeColor="accent6" w:sz="24" w:space="0"/>
        <w:left w:val="single" w:color="4BACC6" w:themeColor="accent5" w:sz="4" w:space="0"/>
        <w:bottom w:val="single" w:color="4BACC6" w:themeColor="accent5" w:sz="4" w:space="0"/>
        <w:right w:val="single" w:color="4BACC6" w:themeColor="accent5"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276A7C" w:themeFill="accent5"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276A7C" w:themeFill="accent5"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7">
    <w:name w:val="Colorful Shading Accent 6"/>
    <w:basedOn w:val="32"/>
    <w:uiPriority w:val="71"/>
    <w:pPr>
      <w:spacing w:after="0" w:line="240" w:lineRule="auto"/>
    </w:pPr>
    <w:rPr>
      <w:color w:val="000000" w:themeColor="text1"/>
      <w14:textFill>
        <w14:solidFill>
          <w14:schemeClr w14:val="tx1"/>
        </w14:solidFill>
      </w14:textFill>
    </w:rPr>
    <w:tblPr>
      <w:tblBorders>
        <w:top w:val="single" w:color="4BACC6" w:themeColor="accent5" w:sz="24" w:space="0"/>
        <w:left w:val="single" w:color="F79646" w:themeColor="accent6" w:sz="4" w:space="0"/>
        <w:bottom w:val="single" w:color="F79646" w:themeColor="accent6" w:sz="4" w:space="0"/>
        <w:right w:val="single" w:color="F79646" w:themeColor="accent6"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rPr>
        <w:b/>
        <w:bCs/>
        <w:color w:val="FFFFFF" w:themeColor="background1"/>
        <w14:textFill>
          <w14:solidFill>
            <w14:schemeClr w14:val="bg1"/>
          </w14:solidFill>
        </w14:textFill>
      </w:rPr>
      <w:tblPr/>
      <w:tcPr>
        <w:tcBorders>
          <w:top w:val="single" w:color="FFFFFF" w:themeColor="background1" w:sz="6" w:space="0"/>
        </w:tcBorders>
        <w:shd w:val="clear" w:color="auto" w:fill="B65607" w:themeFill="accent6" w:themeFillShade="99"/>
      </w:tcPr>
    </w:tblStylePr>
    <w:tblStylePr w:type="firstCol">
      <w:rPr>
        <w:color w:val="FFFFFF" w:themeColor="background1"/>
        <w14:textFill>
          <w14:solidFill>
            <w14:schemeClr w14:val="bg1"/>
          </w14:solidFill>
        </w14:textFill>
      </w:rPr>
      <w:tblPr/>
      <w:tcPr>
        <w:tcBorders>
          <w:top w:val="nil"/>
          <w:left w:val="nil"/>
          <w:bottom w:val="nil"/>
          <w:right w:val="nil"/>
          <w:insideH w:val="single" w:sz="4" w:space="0"/>
          <w:insideV w:val="nil"/>
        </w:tcBorders>
        <w:shd w:val="clear" w:color="auto" w:fill="B65607" w:themeFill="accent6" w:themeFillShade="99"/>
      </w:tcPr>
    </w:tblStylePr>
    <w:tblStylePr w:type="lastCol">
      <w:rPr>
        <w:color w:val="FFFFFF" w:themeColor="background1"/>
        <w14:textFill>
          <w14:solidFill>
            <w14:schemeClr w14:val="bg1"/>
          </w14:solidFill>
        </w14:textFill>
      </w:rPr>
      <w:tblPr/>
      <w:tcPr>
        <w:tcBorders>
          <w:top w:val="nil"/>
          <w:left w:val="nil"/>
          <w:bottom w:val="nil"/>
          <w:right w:val="nil"/>
          <w:insideH w:val="nil"/>
          <w:insideV w:val="nil"/>
        </w:tcBorders>
        <w:shd w:val="clear" w:color="auto" w:fill="B65607"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14:textFill>
          <w14:solidFill>
            <w14:schemeClr w14:val="tx1"/>
          </w14:solidFill>
        </w14:textFill>
      </w:rPr>
    </w:tblStylePr>
    <w:tblStylePr w:type="nwCell">
      <w:rPr>
        <w:color w:val="000000" w:themeColor="text1"/>
        <w14:textFill>
          <w14:solidFill>
            <w14:schemeClr w14:val="tx1"/>
          </w14:solidFill>
        </w14:textFill>
      </w:rPr>
    </w:tblStylePr>
  </w:style>
  <w:style w:type="table" w:styleId="118">
    <w:name w:val="Colorful List"/>
    <w:basedOn w:val="32"/>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E5E5E5" w:themeFill="text1"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9E3A38" w:themeFill="accent2" w:themeFillShade="CC"/>
      </w:tcPr>
    </w:tblStylePr>
    <w:tblStylePr w:type="lastRow">
      <w:rPr>
        <w:b/>
        <w:bCs/>
        <w:color w:val="9F3B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FBFBF" w:themeFill="text1" w:themeFillTint="3F"/>
      </w:tcPr>
    </w:tblStylePr>
    <w:tblStylePr w:type="band1Horz">
      <w:tblPr/>
      <w:tcPr>
        <w:shd w:val="clear" w:color="auto" w:fill="CCCCCC" w:themeFill="text1" w:themeFillTint="33"/>
      </w:tcPr>
    </w:tblStylePr>
  </w:style>
  <w:style w:type="table" w:styleId="119">
    <w:name w:val="Colorful List Accent 1"/>
    <w:basedOn w:val="32"/>
    <w:qFormat/>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9E3A38" w:themeFill="accent2" w:themeFillShade="CC"/>
      </w:tcPr>
    </w:tblStylePr>
    <w:tblStylePr w:type="lastRow">
      <w:rPr>
        <w:b/>
        <w:bCs/>
        <w:color w:val="9F3B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120">
    <w:name w:val="Colorful List Accent 2"/>
    <w:basedOn w:val="32"/>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9E3A38" w:themeFill="accent2" w:themeFillShade="CC"/>
      </w:tcPr>
    </w:tblStylePr>
    <w:tblStylePr w:type="lastRow">
      <w:rPr>
        <w:b/>
        <w:bCs/>
        <w:color w:val="9F3B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3" w:themeFill="accent2" w:themeFillTint="3F"/>
      </w:tcPr>
    </w:tblStylePr>
    <w:tblStylePr w:type="band1Horz">
      <w:tblPr/>
      <w:tcPr>
        <w:shd w:val="clear" w:color="auto" w:fill="F2DBDB" w:themeFill="accent2" w:themeFillTint="33"/>
      </w:tcPr>
    </w:tblStylePr>
  </w:style>
  <w:style w:type="table" w:styleId="121">
    <w:name w:val="Colorful List Accent 3"/>
    <w:basedOn w:val="32"/>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664E82" w:themeFill="accent4" w:themeFillShade="CC"/>
      </w:tcPr>
    </w:tblStylePr>
    <w:tblStylePr w:type="lastRow">
      <w:rPr>
        <w:b/>
        <w:bCs/>
        <w:color w:val="664F83" w:themeColor="accent4"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122">
    <w:name w:val="Colorful List Accent 4"/>
    <w:basedOn w:val="32"/>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2EFF5" w:themeFill="accent4"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7E9C40" w:themeFill="accent3" w:themeFillShade="CC"/>
      </w:tcPr>
    </w:tblStylePr>
    <w:tblStylePr w:type="lastRow">
      <w:rPr>
        <w:b/>
        <w:bCs/>
        <w:color w:val="7E9D40" w:themeColor="accent3"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123">
    <w:name w:val="Colorful List Accent 5"/>
    <w:basedOn w:val="32"/>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F3730A" w:themeFill="accent6" w:themeFillShade="CC"/>
      </w:tcPr>
    </w:tblStylePr>
    <w:tblStylePr w:type="lastRow">
      <w:rPr>
        <w:b/>
        <w:bCs/>
        <w:color w:val="F3740B" w:themeColor="accent6"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0" w:themeFill="accent5" w:themeFillTint="3F"/>
      </w:tcPr>
    </w:tblStylePr>
    <w:tblStylePr w:type="band1Horz">
      <w:tblPr/>
      <w:tcPr>
        <w:shd w:val="clear" w:color="auto" w:fill="DAEEF3" w:themeFill="accent5" w:themeFillTint="33"/>
      </w:tcPr>
    </w:tblStylePr>
  </w:style>
  <w:style w:type="table" w:styleId="124">
    <w:name w:val="Colorful List Accent 6"/>
    <w:basedOn w:val="32"/>
    <w:uiPriority w:val="72"/>
    <w:pPr>
      <w:spacing w:after="0" w:line="240" w:lineRule="auto"/>
    </w:pPr>
    <w:rPr>
      <w:color w:val="000000" w:themeColor="text1"/>
      <w14:textFill>
        <w14:solidFill>
          <w14:schemeClr w14:val="tx1"/>
        </w14:solidFill>
      </w14:textFill>
    </w:rPr>
    <w:tblPr>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14:textFill>
          <w14:solidFill>
            <w14:schemeClr w14:val="bg1"/>
          </w14:solidFill>
        </w14:textFill>
      </w:rPr>
      <w:tblPr/>
      <w:tcPr>
        <w:tcBorders>
          <w:bottom w:val="single" w:color="FFFFFF" w:themeColor="background1" w:sz="12" w:space="0"/>
        </w:tcBorders>
        <w:shd w:val="clear" w:color="auto" w:fill="348DA5" w:themeFill="accent5" w:themeFillShade="CC"/>
      </w:tcPr>
    </w:tblStylePr>
    <w:tblStylePr w:type="lastRow">
      <w:rPr>
        <w:b/>
        <w:bCs/>
        <w:color w:val="358EA6" w:themeColor="accent5"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5D1" w:themeFill="accent6" w:themeFillTint="3F"/>
      </w:tcPr>
    </w:tblStylePr>
    <w:tblStylePr w:type="band1Horz">
      <w:tblPr/>
      <w:tcPr>
        <w:shd w:val="clear" w:color="auto" w:fill="FDE9D9" w:themeFill="accent6" w:themeFillTint="33"/>
      </w:tcPr>
    </w:tblStylePr>
  </w:style>
  <w:style w:type="table" w:styleId="125">
    <w:name w:val="Colorful Grid"/>
    <w:basedOn w:val="32"/>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14:textFill>
          <w14:solidFill>
            <w14:schemeClr w14:val="tx1"/>
          </w14:solidFill>
        </w14:textFill>
      </w:rPr>
      <w:tblPr/>
      <w:tcPr>
        <w:shd w:val="clear" w:color="auto" w:fill="999999" w:themeFill="text1" w:themeFillTint="66"/>
      </w:tcPr>
    </w:tblStylePr>
    <w:tblStylePr w:type="firstCol">
      <w:rPr>
        <w:color w:val="FFFFFF" w:themeColor="background1"/>
        <w14:textFill>
          <w14:solidFill>
            <w14:schemeClr w14:val="bg1"/>
          </w14:solidFill>
        </w14:textFill>
      </w:rPr>
      <w:tblPr/>
      <w:tcPr>
        <w:shd w:val="clear" w:color="auto" w:fill="000000" w:themeFill="text1" w:themeFillShade="BF"/>
      </w:tcPr>
    </w:tblStylePr>
    <w:tblStylePr w:type="lastCol">
      <w:rPr>
        <w:color w:val="FFFFFF" w:themeColor="background1"/>
        <w14:textFill>
          <w14:solidFill>
            <w14:schemeClr w14:val="bg1"/>
          </w14:solidFill>
        </w14:textFill>
      </w:rPr>
      <w:tblPr/>
      <w:tcPr>
        <w:shd w:val="clear" w:color="auto" w:fill="000000" w:themeFill="text1" w:themeFillShade="BF"/>
      </w:tcPr>
    </w:tblStylePr>
    <w:tblStylePr w:type="band1Vert">
      <w:tblPr/>
      <w:tcPr>
        <w:shd w:val="clear" w:color="auto" w:fill="7F7F7F" w:themeFill="text1" w:themeFillTint="7F"/>
      </w:tcPr>
    </w:tblStylePr>
    <w:tblStylePr w:type="band1Horz">
      <w:tblPr/>
      <w:tcPr>
        <w:shd w:val="clear" w:color="auto" w:fill="7F7F7F" w:themeFill="text1" w:themeFillTint="7F"/>
      </w:tcPr>
    </w:tblStylePr>
  </w:style>
  <w:style w:type="table" w:styleId="126">
    <w:name w:val="Colorful Grid Accent 1"/>
    <w:basedOn w:val="32"/>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14:textFill>
          <w14:solidFill>
            <w14:schemeClr w14:val="tx1"/>
          </w14:solidFill>
        </w14:textFill>
      </w:rPr>
      <w:tblPr/>
      <w:tcPr>
        <w:shd w:val="clear" w:color="auto" w:fill="B8CCE4" w:themeFill="accent1" w:themeFillTint="66"/>
      </w:tcPr>
    </w:tblStylePr>
    <w:tblStylePr w:type="firstCol">
      <w:rPr>
        <w:color w:val="FFFFFF" w:themeColor="background1"/>
        <w14:textFill>
          <w14:solidFill>
            <w14:schemeClr w14:val="bg1"/>
          </w14:solidFill>
        </w14:textFill>
      </w:rPr>
      <w:tblPr/>
      <w:tcPr>
        <w:shd w:val="clear" w:color="auto" w:fill="366091" w:themeFill="accent1" w:themeFillShade="BF"/>
      </w:tcPr>
    </w:tblStylePr>
    <w:tblStylePr w:type="lastCol">
      <w:rPr>
        <w:color w:val="FFFFFF" w:themeColor="background1"/>
        <w14:textFill>
          <w14:solidFill>
            <w14:schemeClr w14:val="bg1"/>
          </w14:solidFill>
        </w14:textFill>
      </w:rPr>
      <w:tblPr/>
      <w:tcPr>
        <w:shd w:val="clear" w:color="auto" w:fill="366091" w:themeFill="accent1" w:themeFillShade="BF"/>
      </w:tcPr>
    </w:tblStylePr>
    <w:tblStylePr w:type="band1Vert">
      <w:tblPr/>
      <w:tcPr>
        <w:shd w:val="clear" w:color="auto" w:fill="A7C0DE" w:themeFill="accent1" w:themeFillTint="7F"/>
      </w:tcPr>
    </w:tblStylePr>
    <w:tblStylePr w:type="band1Horz">
      <w:tblPr/>
      <w:tcPr>
        <w:shd w:val="clear" w:color="auto" w:fill="A7C0DE" w:themeFill="accent1" w:themeFillTint="7F"/>
      </w:tcPr>
    </w:tblStylePr>
  </w:style>
  <w:style w:type="table" w:styleId="127">
    <w:name w:val="Colorful Grid Accent 2"/>
    <w:basedOn w:val="32"/>
    <w:qFormat/>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14:textFill>
          <w14:solidFill>
            <w14:schemeClr w14:val="tx1"/>
          </w14:solidFill>
        </w14:textFill>
      </w:rPr>
      <w:tblPr/>
      <w:tcPr>
        <w:shd w:val="clear" w:color="auto" w:fill="E5B8B7" w:themeFill="accent2" w:themeFillTint="66"/>
      </w:tcPr>
    </w:tblStylePr>
    <w:tblStylePr w:type="firstCol">
      <w:rPr>
        <w:color w:val="FFFFFF" w:themeColor="background1"/>
        <w14:textFill>
          <w14:solidFill>
            <w14:schemeClr w14:val="bg1"/>
          </w14:solidFill>
        </w14:textFill>
      </w:rPr>
      <w:tblPr/>
      <w:tcPr>
        <w:shd w:val="clear" w:color="auto" w:fill="943734" w:themeFill="accent2" w:themeFillShade="BF"/>
      </w:tcPr>
    </w:tblStylePr>
    <w:tblStylePr w:type="lastCol">
      <w:rPr>
        <w:color w:val="FFFFFF" w:themeColor="background1"/>
        <w14:textFill>
          <w14:solidFill>
            <w14:schemeClr w14:val="bg1"/>
          </w14:solidFill>
        </w14:textFill>
      </w:rPr>
      <w:tblPr/>
      <w:tcPr>
        <w:shd w:val="clear" w:color="auto" w:fill="9437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28">
    <w:name w:val="Colorful Grid Accent 3"/>
    <w:basedOn w:val="32"/>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14:textFill>
          <w14:solidFill>
            <w14:schemeClr w14:val="tx1"/>
          </w14:solidFill>
        </w14:textFill>
      </w:rPr>
      <w:tblPr/>
      <w:tcPr>
        <w:shd w:val="clear" w:color="auto" w:fill="D6E3BC" w:themeFill="accent3" w:themeFillTint="66"/>
      </w:tcPr>
    </w:tblStylePr>
    <w:tblStylePr w:type="firstCol">
      <w:rPr>
        <w:color w:val="FFFFFF" w:themeColor="background1"/>
        <w14:textFill>
          <w14:solidFill>
            <w14:schemeClr w14:val="bg1"/>
          </w14:solidFill>
        </w14:textFill>
      </w:rPr>
      <w:tblPr/>
      <w:tcPr>
        <w:shd w:val="clear" w:color="auto" w:fill="76923C" w:themeFill="accent3" w:themeFillShade="BF"/>
      </w:tcPr>
    </w:tblStylePr>
    <w:tblStylePr w:type="lastCol">
      <w:rPr>
        <w:color w:val="FFFFFF" w:themeColor="background1"/>
        <w14:textFill>
          <w14:solidFill>
            <w14:schemeClr w14:val="bg1"/>
          </w14:solidFill>
        </w14:textFill>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29">
    <w:name w:val="Colorful Grid Accent 4"/>
    <w:basedOn w:val="32"/>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14:textFill>
          <w14:solidFill>
            <w14:schemeClr w14:val="tx1"/>
          </w14:solidFill>
        </w14:textFill>
      </w:rPr>
      <w:tblPr/>
      <w:tcPr>
        <w:shd w:val="clear" w:color="auto" w:fill="CCC0D9" w:themeFill="accent4" w:themeFillTint="66"/>
      </w:tcPr>
    </w:tblStylePr>
    <w:tblStylePr w:type="firstCol">
      <w:rPr>
        <w:color w:val="FFFFFF" w:themeColor="background1"/>
        <w14:textFill>
          <w14:solidFill>
            <w14:schemeClr w14:val="bg1"/>
          </w14:solidFill>
        </w14:textFill>
      </w:rPr>
      <w:tblPr/>
      <w:tcPr>
        <w:shd w:val="clear" w:color="auto" w:fill="5F497A" w:themeFill="accent4" w:themeFillShade="BF"/>
      </w:tcPr>
    </w:tblStylePr>
    <w:tblStylePr w:type="lastCol">
      <w:rPr>
        <w:color w:val="FFFFFF" w:themeColor="background1"/>
        <w14:textFill>
          <w14:solidFill>
            <w14:schemeClr w14:val="bg1"/>
          </w14:solidFill>
        </w14:textFill>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30">
    <w:name w:val="Colorful Grid Accent 5"/>
    <w:basedOn w:val="32"/>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14:textFill>
          <w14:solidFill>
            <w14:schemeClr w14:val="tx1"/>
          </w14:solidFill>
        </w14:textFill>
      </w:rPr>
      <w:tblPr/>
      <w:tcPr>
        <w:shd w:val="clear" w:color="auto" w:fill="B6DDE8" w:themeFill="accent5" w:themeFillTint="66"/>
      </w:tcPr>
    </w:tblStylePr>
    <w:tblStylePr w:type="firstCol">
      <w:rPr>
        <w:color w:val="FFFFFF" w:themeColor="background1"/>
        <w14:textFill>
          <w14:solidFill>
            <w14:schemeClr w14:val="bg1"/>
          </w14:solidFill>
        </w14:textFill>
      </w:rPr>
      <w:tblPr/>
      <w:tcPr>
        <w:shd w:val="clear" w:color="auto" w:fill="31849B" w:themeFill="accent5" w:themeFillShade="BF"/>
      </w:tcPr>
    </w:tblStylePr>
    <w:tblStylePr w:type="lastCol">
      <w:rPr>
        <w:color w:val="FFFFFF" w:themeColor="background1"/>
        <w14:textFill>
          <w14:solidFill>
            <w14:schemeClr w14:val="bg1"/>
          </w14:solidFill>
        </w14:textFill>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31">
    <w:name w:val="Colorful Grid Accent 6"/>
    <w:basedOn w:val="32"/>
    <w:uiPriority w:val="73"/>
    <w:pPr>
      <w:spacing w:after="0" w:line="240" w:lineRule="auto"/>
    </w:pPr>
    <w:rPr>
      <w:color w:val="000000" w:themeColor="text1"/>
      <w14:textFill>
        <w14:solidFill>
          <w14:schemeClr w14:val="tx1"/>
        </w14:solidFill>
      </w14:textFill>
    </w:rPr>
    <w:tblPr>
      <w:tblBorders>
        <w:insideH w:val="single" w:color="FFFFFF" w:themeColor="background1" w:sz="4" w:space="0"/>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14:textFill>
          <w14:solidFill>
            <w14:schemeClr w14:val="tx1"/>
          </w14:solidFill>
        </w14:textFill>
      </w:rPr>
      <w:tblPr/>
      <w:tcPr>
        <w:shd w:val="clear" w:color="auto" w:fill="FBD4B4" w:themeFill="accent6" w:themeFillTint="66"/>
      </w:tcPr>
    </w:tblStylePr>
    <w:tblStylePr w:type="firstCol">
      <w:rPr>
        <w:color w:val="FFFFFF" w:themeColor="background1"/>
        <w14:textFill>
          <w14:solidFill>
            <w14:schemeClr w14:val="bg1"/>
          </w14:solidFill>
        </w14:textFill>
      </w:rPr>
      <w:tblPr/>
      <w:tcPr>
        <w:shd w:val="clear" w:color="auto" w:fill="E36C09" w:themeFill="accent6" w:themeFillShade="BF"/>
      </w:tcPr>
    </w:tblStylePr>
    <w:tblStylePr w:type="lastCol">
      <w:rPr>
        <w:color w:val="FFFFFF" w:themeColor="background1"/>
        <w14:textFill>
          <w14:solidFill>
            <w14:schemeClr w14:val="bg1"/>
          </w14:solidFill>
        </w14:textFill>
      </w:rPr>
      <w:tblPr/>
      <w:tcPr>
        <w:shd w:val="clear" w:color="auto" w:fill="E36C09"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133">
    <w:name w:val="Strong"/>
    <w:basedOn w:val="132"/>
    <w:qFormat/>
    <w:uiPriority w:val="22"/>
    <w:rPr>
      <w:b/>
      <w:bCs/>
    </w:rPr>
  </w:style>
  <w:style w:type="character" w:styleId="134">
    <w:name w:val="Emphasis"/>
    <w:basedOn w:val="132"/>
    <w:qFormat/>
    <w:uiPriority w:val="20"/>
    <w:rPr>
      <w:i/>
      <w:iCs/>
    </w:rPr>
  </w:style>
  <w:style w:type="character" w:customStyle="1" w:styleId="135">
    <w:name w:val="Header Char"/>
    <w:basedOn w:val="132"/>
    <w:link w:val="25"/>
    <w:qFormat/>
    <w:uiPriority w:val="99"/>
  </w:style>
  <w:style w:type="character" w:customStyle="1" w:styleId="136">
    <w:name w:val="Footer Char"/>
    <w:basedOn w:val="132"/>
    <w:link w:val="24"/>
    <w:uiPriority w:val="99"/>
  </w:style>
  <w:style w:type="paragraph" w:styleId="137">
    <w:name w:val="No Spacing"/>
    <w:qFormat/>
    <w:uiPriority w:val="1"/>
    <w:pPr>
      <w:spacing w:after="0" w:line="240" w:lineRule="auto"/>
    </w:pPr>
    <w:rPr>
      <w:rFonts w:asciiTheme="minorHAnsi" w:hAnsiTheme="minorHAnsi" w:eastAsiaTheme="minorEastAsia" w:cstheme="minorBidi"/>
      <w:sz w:val="22"/>
      <w:szCs w:val="22"/>
      <w:lang w:val="en-US" w:eastAsia="en-US" w:bidi="ar-SA"/>
    </w:rPr>
  </w:style>
  <w:style w:type="character" w:customStyle="1" w:styleId="138">
    <w:name w:val="Heading 1 Char"/>
    <w:basedOn w:val="132"/>
    <w:link w:val="3"/>
    <w:qFormat/>
    <w:uiPriority w:val="9"/>
    <w:rPr>
      <w:rFonts w:asciiTheme="majorHAnsi" w:hAnsiTheme="majorHAnsi" w:eastAsiaTheme="majorEastAsia" w:cstheme="majorBidi"/>
      <w:b/>
      <w:bCs/>
      <w:color w:val="376092" w:themeColor="accent1" w:themeShade="BF"/>
      <w:sz w:val="28"/>
      <w:szCs w:val="28"/>
    </w:rPr>
  </w:style>
  <w:style w:type="character" w:customStyle="1" w:styleId="139">
    <w:name w:val="Heading 2 Char"/>
    <w:basedOn w:val="132"/>
    <w:link w:val="4"/>
    <w:uiPriority w:val="9"/>
    <w:rPr>
      <w:rFonts w:asciiTheme="majorHAnsi" w:hAnsiTheme="majorHAnsi" w:eastAsiaTheme="majorEastAsia" w:cstheme="majorBidi"/>
      <w:b/>
      <w:bCs/>
      <w:color w:val="4F81BD" w:themeColor="accent1"/>
      <w:sz w:val="26"/>
      <w:szCs w:val="26"/>
      <w14:textFill>
        <w14:solidFill>
          <w14:schemeClr w14:val="accent1"/>
        </w14:solidFill>
      </w14:textFill>
    </w:rPr>
  </w:style>
  <w:style w:type="character" w:customStyle="1" w:styleId="140">
    <w:name w:val="Heading 3 Char"/>
    <w:basedOn w:val="132"/>
    <w:link w:val="5"/>
    <w:uiPriority w:val="9"/>
    <w:rPr>
      <w:rFonts w:asciiTheme="majorHAnsi" w:hAnsiTheme="majorHAnsi" w:eastAsiaTheme="majorEastAsia" w:cstheme="majorBidi"/>
      <w:b/>
      <w:bCs/>
      <w:color w:val="4F81BD" w:themeColor="accent1"/>
      <w14:textFill>
        <w14:solidFill>
          <w14:schemeClr w14:val="accent1"/>
        </w14:solidFill>
      </w14:textFill>
    </w:rPr>
  </w:style>
  <w:style w:type="character" w:customStyle="1" w:styleId="141">
    <w:name w:val="Title Char"/>
    <w:basedOn w:val="132"/>
    <w:link w:val="31"/>
    <w:uiPriority w:val="10"/>
    <w:rPr>
      <w:rFonts w:asciiTheme="majorHAnsi" w:hAnsiTheme="majorHAnsi" w:eastAsiaTheme="majorEastAsia" w:cstheme="majorBidi"/>
      <w:color w:val="17375E" w:themeColor="text2" w:themeShade="BF"/>
      <w:spacing w:val="5"/>
      <w:kern w:val="28"/>
      <w:sz w:val="52"/>
      <w:szCs w:val="52"/>
    </w:rPr>
  </w:style>
  <w:style w:type="character" w:customStyle="1" w:styleId="142">
    <w:name w:val="Subtitle Char"/>
    <w:basedOn w:val="132"/>
    <w:link w:val="26"/>
    <w:qFormat/>
    <w:uiPriority w:val="11"/>
    <w:rPr>
      <w:rFonts w:asciiTheme="majorHAnsi" w:hAnsiTheme="majorHAnsi" w:eastAsiaTheme="majorEastAsia" w:cstheme="majorBidi"/>
      <w:i/>
      <w:iCs/>
      <w:color w:val="4F81BD" w:themeColor="accent1"/>
      <w:spacing w:val="15"/>
      <w:sz w:val="24"/>
      <w:szCs w:val="24"/>
      <w14:textFill>
        <w14:solidFill>
          <w14:schemeClr w14:val="accent1"/>
        </w14:solidFill>
      </w14:textFill>
    </w:rPr>
  </w:style>
  <w:style w:type="paragraph" w:styleId="143">
    <w:name w:val="List Paragraph"/>
    <w:basedOn w:val="1"/>
    <w:qFormat/>
    <w:uiPriority w:val="34"/>
    <w:pPr>
      <w:ind w:left="720"/>
      <w:contextualSpacing/>
    </w:pPr>
  </w:style>
  <w:style w:type="character" w:customStyle="1" w:styleId="144">
    <w:name w:val="Body Text Char"/>
    <w:basedOn w:val="132"/>
    <w:link w:val="19"/>
    <w:uiPriority w:val="99"/>
  </w:style>
  <w:style w:type="character" w:customStyle="1" w:styleId="145">
    <w:name w:val="Body Text 2 Char"/>
    <w:basedOn w:val="132"/>
    <w:link w:val="28"/>
    <w:uiPriority w:val="99"/>
  </w:style>
  <w:style w:type="character" w:customStyle="1" w:styleId="146">
    <w:name w:val="Body Text 3 Char"/>
    <w:basedOn w:val="132"/>
    <w:link w:val="17"/>
    <w:uiPriority w:val="99"/>
    <w:rPr>
      <w:sz w:val="16"/>
      <w:szCs w:val="16"/>
    </w:rPr>
  </w:style>
  <w:style w:type="character" w:customStyle="1" w:styleId="147">
    <w:name w:val="Macro Text Char"/>
    <w:basedOn w:val="132"/>
    <w:link w:val="2"/>
    <w:qFormat/>
    <w:uiPriority w:val="99"/>
    <w:rPr>
      <w:rFonts w:ascii="Courier" w:hAnsi="Courier"/>
      <w:sz w:val="20"/>
      <w:szCs w:val="20"/>
    </w:rPr>
  </w:style>
  <w:style w:type="paragraph" w:styleId="148">
    <w:name w:val="Quote"/>
    <w:basedOn w:val="1"/>
    <w:next w:val="1"/>
    <w:link w:val="149"/>
    <w:qFormat/>
    <w:uiPriority w:val="29"/>
    <w:rPr>
      <w:i/>
      <w:iCs/>
      <w:color w:val="000000" w:themeColor="text1"/>
      <w14:textFill>
        <w14:solidFill>
          <w14:schemeClr w14:val="tx1"/>
        </w14:solidFill>
      </w14:textFill>
    </w:rPr>
  </w:style>
  <w:style w:type="character" w:customStyle="1" w:styleId="149">
    <w:name w:val="Quote Char"/>
    <w:basedOn w:val="132"/>
    <w:link w:val="148"/>
    <w:qFormat/>
    <w:uiPriority w:val="29"/>
    <w:rPr>
      <w:i/>
      <w:iCs/>
      <w:color w:val="000000" w:themeColor="text1"/>
      <w14:textFill>
        <w14:solidFill>
          <w14:schemeClr w14:val="tx1"/>
        </w14:solidFill>
      </w14:textFill>
    </w:rPr>
  </w:style>
  <w:style w:type="character" w:customStyle="1" w:styleId="150">
    <w:name w:val="Heading 4 Char"/>
    <w:basedOn w:val="132"/>
    <w:link w:val="6"/>
    <w:semiHidden/>
    <w:uiPriority w:val="9"/>
    <w:rPr>
      <w:rFonts w:asciiTheme="majorHAnsi" w:hAnsiTheme="majorHAnsi" w:eastAsiaTheme="majorEastAsia" w:cstheme="majorBidi"/>
      <w:b/>
      <w:bCs/>
      <w:i/>
      <w:iCs/>
      <w:color w:val="4F81BD" w:themeColor="accent1"/>
      <w14:textFill>
        <w14:solidFill>
          <w14:schemeClr w14:val="accent1"/>
        </w14:solidFill>
      </w14:textFill>
    </w:rPr>
  </w:style>
  <w:style w:type="character" w:customStyle="1" w:styleId="151">
    <w:name w:val="Heading 5 Char"/>
    <w:basedOn w:val="132"/>
    <w:link w:val="7"/>
    <w:semiHidden/>
    <w:uiPriority w:val="9"/>
    <w:rPr>
      <w:rFonts w:asciiTheme="majorHAnsi" w:hAnsiTheme="majorHAnsi" w:eastAsiaTheme="majorEastAsia" w:cstheme="majorBidi"/>
      <w:color w:val="254061" w:themeColor="accent1" w:themeShade="80"/>
    </w:rPr>
  </w:style>
  <w:style w:type="character" w:customStyle="1" w:styleId="152">
    <w:name w:val="Heading 6 Char"/>
    <w:basedOn w:val="132"/>
    <w:link w:val="8"/>
    <w:semiHidden/>
    <w:uiPriority w:val="9"/>
    <w:rPr>
      <w:rFonts w:asciiTheme="majorHAnsi" w:hAnsiTheme="majorHAnsi" w:eastAsiaTheme="majorEastAsia" w:cstheme="majorBidi"/>
      <w:i/>
      <w:iCs/>
      <w:color w:val="254061" w:themeColor="accent1" w:themeShade="80"/>
    </w:rPr>
  </w:style>
  <w:style w:type="character" w:customStyle="1" w:styleId="153">
    <w:name w:val="Heading 7 Char"/>
    <w:basedOn w:val="132"/>
    <w:link w:val="9"/>
    <w:semiHidden/>
    <w:uiPriority w:val="9"/>
    <w:rPr>
      <w:rFonts w:asciiTheme="majorHAnsi" w:hAnsiTheme="majorHAnsi" w:eastAsiaTheme="majorEastAsia" w:cstheme="majorBidi"/>
      <w:i/>
      <w:iCs/>
      <w:color w:val="404040" w:themeColor="text1" w:themeTint="BF"/>
      <w14:textFill>
        <w14:solidFill>
          <w14:schemeClr w14:val="tx1">
            <w14:lumMod w14:val="75000"/>
            <w14:lumOff w14:val="25000"/>
          </w14:schemeClr>
        </w14:solidFill>
      </w14:textFill>
    </w:rPr>
  </w:style>
  <w:style w:type="character" w:customStyle="1" w:styleId="154">
    <w:name w:val="Heading 8 Char"/>
    <w:basedOn w:val="132"/>
    <w:link w:val="10"/>
    <w:semiHidden/>
    <w:uiPriority w:val="9"/>
    <w:rPr>
      <w:rFonts w:asciiTheme="majorHAnsi" w:hAnsiTheme="majorHAnsi" w:eastAsiaTheme="majorEastAsia" w:cstheme="majorBidi"/>
      <w:color w:val="4F81BD" w:themeColor="accent1"/>
      <w:sz w:val="20"/>
      <w:szCs w:val="20"/>
      <w14:textFill>
        <w14:solidFill>
          <w14:schemeClr w14:val="accent1"/>
        </w14:solidFill>
      </w14:textFill>
    </w:rPr>
  </w:style>
  <w:style w:type="character" w:customStyle="1" w:styleId="155">
    <w:name w:val="Heading 9 Char"/>
    <w:basedOn w:val="132"/>
    <w:link w:val="11"/>
    <w:semiHidden/>
    <w:uiPriority w:val="9"/>
    <w:rPr>
      <w:rFonts w:asciiTheme="majorHAnsi" w:hAnsiTheme="majorHAnsi" w:eastAsiaTheme="majorEastAsia" w:cstheme="majorBidi"/>
      <w:i/>
      <w:iCs/>
      <w:color w:val="404040" w:themeColor="text1" w:themeTint="BF"/>
      <w:sz w:val="20"/>
      <w:szCs w:val="20"/>
      <w14:textFill>
        <w14:solidFill>
          <w14:schemeClr w14:val="tx1">
            <w14:lumMod w14:val="75000"/>
            <w14:lumOff w14:val="25000"/>
          </w14:schemeClr>
        </w14:solidFill>
      </w14:textFill>
    </w:rPr>
  </w:style>
  <w:style w:type="paragraph" w:styleId="156">
    <w:name w:val="Intense Quote"/>
    <w:basedOn w:val="1"/>
    <w:next w:val="1"/>
    <w:link w:val="157"/>
    <w:qFormat/>
    <w:uiPriority w:val="30"/>
    <w:pPr>
      <w:pBdr>
        <w:bottom w:val="single" w:color="4F81BD" w:themeColor="accent1" w:sz="4" w:space="4"/>
      </w:pBdr>
      <w:spacing w:before="200" w:after="280"/>
      <w:ind w:left="936" w:right="936"/>
    </w:pPr>
    <w:rPr>
      <w:b/>
      <w:bCs/>
      <w:i/>
      <w:iCs/>
      <w:color w:val="4F81BD" w:themeColor="accent1"/>
      <w14:textFill>
        <w14:solidFill>
          <w14:schemeClr w14:val="accent1"/>
        </w14:solidFill>
      </w14:textFill>
    </w:rPr>
  </w:style>
  <w:style w:type="character" w:customStyle="1" w:styleId="157">
    <w:name w:val="Intense Quote Char"/>
    <w:basedOn w:val="132"/>
    <w:link w:val="156"/>
    <w:uiPriority w:val="30"/>
    <w:rPr>
      <w:b/>
      <w:bCs/>
      <w:i/>
      <w:iCs/>
      <w:color w:val="4F81BD" w:themeColor="accent1"/>
      <w14:textFill>
        <w14:solidFill>
          <w14:schemeClr w14:val="accent1"/>
        </w14:solidFill>
      </w14:textFill>
    </w:rPr>
  </w:style>
  <w:style w:type="character" w:customStyle="1" w:styleId="158">
    <w:name w:val="Subtle Emphasis"/>
    <w:basedOn w:val="132"/>
    <w:qFormat/>
    <w:uiPriority w:val="19"/>
    <w:rPr>
      <w:i/>
      <w:iCs/>
      <w:color w:val="808080" w:themeColor="text1" w:themeTint="80"/>
      <w14:textFill>
        <w14:solidFill>
          <w14:schemeClr w14:val="tx1">
            <w14:lumMod w14:val="50000"/>
            <w14:lumOff w14:val="50000"/>
          </w14:schemeClr>
        </w14:solidFill>
      </w14:textFill>
    </w:rPr>
  </w:style>
  <w:style w:type="character" w:customStyle="1" w:styleId="159">
    <w:name w:val="Intense Emphasis"/>
    <w:basedOn w:val="132"/>
    <w:qFormat/>
    <w:uiPriority w:val="21"/>
    <w:rPr>
      <w:b/>
      <w:bCs/>
      <w:i/>
      <w:iCs/>
      <w:color w:val="4F81BD" w:themeColor="accent1"/>
      <w14:textFill>
        <w14:solidFill>
          <w14:schemeClr w14:val="accent1"/>
        </w14:solidFill>
      </w14:textFill>
    </w:rPr>
  </w:style>
  <w:style w:type="character" w:customStyle="1" w:styleId="160">
    <w:name w:val="Subtle Reference"/>
    <w:basedOn w:val="132"/>
    <w:qFormat/>
    <w:uiPriority w:val="31"/>
    <w:rPr>
      <w:smallCaps/>
      <w:color w:val="C0504D" w:themeColor="accent2"/>
      <w:u w:val="single"/>
      <w14:textFill>
        <w14:solidFill>
          <w14:schemeClr w14:val="accent2"/>
        </w14:solidFill>
      </w14:textFill>
    </w:rPr>
  </w:style>
  <w:style w:type="character" w:customStyle="1" w:styleId="161">
    <w:name w:val="Intense Reference"/>
    <w:basedOn w:val="132"/>
    <w:qFormat/>
    <w:uiPriority w:val="32"/>
    <w:rPr>
      <w:b/>
      <w:bCs/>
      <w:smallCaps/>
      <w:color w:val="C0504D" w:themeColor="accent2"/>
      <w:spacing w:val="5"/>
      <w:u w:val="single"/>
      <w14:textFill>
        <w14:solidFill>
          <w14:schemeClr w14:val="accent2"/>
        </w14:solidFill>
      </w14:textFill>
    </w:rPr>
  </w:style>
  <w:style w:type="character" w:customStyle="1" w:styleId="162">
    <w:name w:val="Book Title"/>
    <w:basedOn w:val="132"/>
    <w:qFormat/>
    <w:uiPriority w:val="33"/>
    <w:rPr>
      <w:b/>
      <w:bCs/>
      <w:smallCaps/>
      <w:spacing w:val="5"/>
    </w:rPr>
  </w:style>
  <w:style w:type="paragraph" w:customStyle="1" w:styleId="163">
    <w:name w:val="TOC Heading"/>
    <w:basedOn w:val="3"/>
    <w:next w:val="1"/>
    <w:semiHidden/>
    <w:unhideWhenUsed/>
    <w:qFormat/>
    <w:uiPriority w:val="39"/>
    <w:pPr>
      <w:outlineLvl w:val="9"/>
    </w:p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numbering" Target="numbering.xml"/><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datastoreItem>
</file>

<file path=docProps/app.xml><?xml version="1.0" encoding="utf-8"?>
<Properties xmlns="http://schemas.openxmlformats.org/officeDocument/2006/extended-properties" xmlns:vt="http://schemas.openxmlformats.org/officeDocument/2006/docPropsVTypes">
  <Template>Normal.dotm</Template>
  <Pages>13</Pages>
  <Words>1673</Words>
  <Characters>2159</Characters>
  <Lines>0</Lines>
  <Paragraphs>0</Paragraphs>
  <TotalTime>0</TotalTime>
  <ScaleCrop>false</ScaleCrop>
  <LinksUpToDate>false</LinksUpToDate>
  <CharactersWithSpaces>2181</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2013-12-23T23:15:00Z</dcterms:created>
  <dc:creator>python-docx</dc:creator>
  <dc:description>generated by python-docx</dc:description>
  <cp:lastModifiedBy>WPS_1665158381</cp:lastModifiedBy>
  <dcterms:modified xsi:type="dcterms:W3CDTF">2026-04-19T13:03:26Z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eyJoZGlkIjoiNTM3MzVjZmMzZDYzNjQyMWFjNTBmMzhkZDU4OWM4OTciLCJ1c2VySWQiOiIxNDE2NjM3MTY5In0=</vt:lpwstr>
  </property>
  <property fmtid="{D5CDD505-2E9C-101B-9397-08002B2CF9AE}" pid="3" name="KSOProductBuildVer">
    <vt:lpwstr>2052-12.1.0.25865</vt:lpwstr>
  </property>
  <property fmtid="{D5CDD505-2E9C-101B-9397-08002B2CF9AE}" pid="4" name="ICV">
    <vt:lpwstr>32F629598CF44973BDF62752F4B67EA2_12</vt:lpwstr>
  </property>
</Properties>
</file>