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F319DCE">
      <w:pPr>
        <w:spacing w:before="0" w:after="200" w:line="360" w:lineRule="auto"/>
        <w:jc w:val="center"/>
      </w:pPr>
      <w:r>
        <w:rPr>
          <w:rFonts w:ascii="黑体" w:hAnsi="黑体" w:eastAsia="黑体" w:cs="黑体"/>
          <w:b/>
          <w:bCs/>
          <w:sz w:val="44"/>
          <w:szCs w:val="44"/>
        </w:rPr>
        <w:t>基于机器学习的加州住房价格预测研究</w:t>
      </w:r>
    </w:p>
    <w:p w14:paraId="44E6356D">
      <w:pPr>
        <w:spacing w:before="0" w:after="600" w:line="360" w:lineRule="auto"/>
        <w:jc w:val="center"/>
      </w:pPr>
      <w:r>
        <w:rPr>
          <w:rFonts w:ascii="楷体" w:hAnsi="楷体" w:eastAsia="楷体" w:cs="楷体"/>
          <w:color w:val="444444"/>
          <w:sz w:val="30"/>
          <w:szCs w:val="30"/>
        </w:rPr>
        <w:t>——随机森林与支持向量机的实证分析</w:t>
      </w:r>
    </w:p>
    <w:p w14:paraId="7CB68477">
      <w:pPr>
        <w:sectPr>
          <w:pgSz w:w="11906" w:h="16838"/>
          <w:pgMar w:top="1440" w:right="1440" w:bottom="1440" w:left="1440" w:header="708" w:footer="708" w:gutter="0"/>
          <w:cols w:space="720" w:num="1"/>
          <w:docGrid w:linePitch="360" w:charSpace="0"/>
        </w:sectPr>
      </w:pPr>
    </w:p>
    <w:p w14:paraId="3D0864F5">
      <w:pPr>
        <w:keepNext w:val="0"/>
        <w:keepLines w:val="0"/>
        <w:pageBreakBefore w:val="0"/>
        <w:widowControl w:val="0"/>
        <w:kinsoku/>
        <w:wordWrap/>
        <w:overflowPunct/>
        <w:topLinePunct w:val="0"/>
        <w:autoSpaceDE/>
        <w:autoSpaceDN/>
        <w:bidi w:val="0"/>
        <w:adjustRightInd/>
        <w:snapToGrid/>
        <w:spacing w:before="0" w:line="360" w:lineRule="auto"/>
        <w:jc w:val="center"/>
        <w:textAlignment w:val="auto"/>
      </w:pPr>
      <w:r>
        <w:rPr>
          <w:rFonts w:ascii="黑体" w:hAnsi="黑体" w:eastAsia="黑体" w:cs="黑体"/>
          <w:b/>
          <w:bCs/>
          <w:sz w:val="36"/>
          <w:szCs w:val="36"/>
        </w:rPr>
        <w:t>目  录</w:t>
      </w:r>
      <w:bookmarkStart w:id="32" w:name="_GoBack"/>
      <w:bookmarkEnd w:id="32"/>
    </w:p>
    <w:sdt>
      <w:sdtPr>
        <w:alias w:val="目录"/>
        <w:id w:val="147451803"/>
      </w:sdtPr>
      <w:sdtContent>
        <w:p w14:paraId="737C3F43">
          <w:r>
            <w:fldChar w:fldCharType="begin"/>
          </w:r>
          <w:r>
            <w:instrText xml:space="preserve">TOC \h \o "1-2"</w:instrText>
          </w:r>
          <w:r>
            <w:fldChar w:fldCharType="separate"/>
          </w:r>
          <w:r>
            <w:fldChar w:fldCharType="begin"/>
          </w:r>
          <w:r>
            <w:instrText xml:space="preserve"> HYPERLINK \l _Toc27303 </w:instrText>
          </w:r>
          <w:r>
            <w:fldChar w:fldCharType="separate"/>
          </w:r>
          <w:r>
            <w:rPr>
              <w:rFonts w:ascii="宋体" w:hAnsi="宋体" w:eastAsia="宋体" w:cs="宋体"/>
              <w:bCs/>
              <w:szCs w:val="32"/>
            </w:rPr>
            <w:t>一、引言</w:t>
          </w:r>
          <w:r>
            <w:tab/>
          </w:r>
          <w:r>
            <w:fldChar w:fldCharType="begin"/>
          </w:r>
          <w:r>
            <w:instrText xml:space="preserve"> PAGEREF _Toc27303 \h </w:instrText>
          </w:r>
          <w:r>
            <w:fldChar w:fldCharType="separate"/>
          </w:r>
          <w:r>
            <w:t>1</w:t>
          </w:r>
          <w:r>
            <w:fldChar w:fldCharType="end"/>
          </w:r>
          <w:r>
            <w:fldChar w:fldCharType="end"/>
          </w:r>
        </w:p>
        <w:p w14:paraId="5DD405EE">
          <w:pPr>
            <w:pStyle w:val="13"/>
            <w:tabs>
              <w:tab w:val="right" w:leader="dot" w:pos="9026"/>
            </w:tabs>
          </w:pPr>
          <w:r>
            <w:fldChar w:fldCharType="begin"/>
          </w:r>
          <w:r>
            <w:instrText xml:space="preserve"> HYPERLINK \l _Toc14156 </w:instrText>
          </w:r>
          <w:r>
            <w:fldChar w:fldCharType="separate"/>
          </w:r>
          <w:r>
            <w:rPr>
              <w:rFonts w:ascii="宋体" w:hAnsi="宋体" w:eastAsia="宋体" w:cs="宋体"/>
              <w:bCs/>
              <w:szCs w:val="28"/>
            </w:rPr>
            <w:t>1.1 研究背景</w:t>
          </w:r>
          <w:r>
            <w:tab/>
          </w:r>
          <w:r>
            <w:fldChar w:fldCharType="begin"/>
          </w:r>
          <w:r>
            <w:instrText xml:space="preserve"> PAGEREF _Toc14156 \h </w:instrText>
          </w:r>
          <w:r>
            <w:fldChar w:fldCharType="separate"/>
          </w:r>
          <w:r>
            <w:t>1</w:t>
          </w:r>
          <w:r>
            <w:fldChar w:fldCharType="end"/>
          </w:r>
          <w:r>
            <w:fldChar w:fldCharType="end"/>
          </w:r>
        </w:p>
        <w:p w14:paraId="71A452B7">
          <w:pPr>
            <w:pStyle w:val="13"/>
            <w:tabs>
              <w:tab w:val="right" w:leader="dot" w:pos="9026"/>
            </w:tabs>
          </w:pPr>
          <w:r>
            <w:fldChar w:fldCharType="begin"/>
          </w:r>
          <w:r>
            <w:instrText xml:space="preserve"> HYPERLINK \l _Toc14898 </w:instrText>
          </w:r>
          <w:r>
            <w:fldChar w:fldCharType="separate"/>
          </w:r>
          <w:r>
            <w:rPr>
              <w:rFonts w:ascii="宋体" w:hAnsi="宋体" w:eastAsia="宋体" w:cs="宋体"/>
              <w:bCs/>
              <w:szCs w:val="28"/>
            </w:rPr>
            <w:t>1.2 研究目的</w:t>
          </w:r>
          <w:r>
            <w:tab/>
          </w:r>
          <w:r>
            <w:fldChar w:fldCharType="begin"/>
          </w:r>
          <w:r>
            <w:instrText xml:space="preserve"> PAGEREF _Toc14898 \h </w:instrText>
          </w:r>
          <w:r>
            <w:fldChar w:fldCharType="separate"/>
          </w:r>
          <w:r>
            <w:t>1</w:t>
          </w:r>
          <w:r>
            <w:fldChar w:fldCharType="end"/>
          </w:r>
          <w:r>
            <w:fldChar w:fldCharType="end"/>
          </w:r>
        </w:p>
        <w:p w14:paraId="06933E4B">
          <w:pPr>
            <w:pStyle w:val="13"/>
            <w:tabs>
              <w:tab w:val="right" w:leader="dot" w:pos="9026"/>
            </w:tabs>
          </w:pPr>
          <w:r>
            <w:fldChar w:fldCharType="begin"/>
          </w:r>
          <w:r>
            <w:instrText xml:space="preserve"> HYPERLINK \l _Toc1517 </w:instrText>
          </w:r>
          <w:r>
            <w:fldChar w:fldCharType="separate"/>
          </w:r>
          <w:r>
            <w:rPr>
              <w:rFonts w:ascii="宋体" w:hAnsi="宋体" w:eastAsia="宋体" w:cs="宋体"/>
              <w:bCs/>
              <w:szCs w:val="28"/>
            </w:rPr>
            <w:t>1.3 数据来源</w:t>
          </w:r>
          <w:r>
            <w:tab/>
          </w:r>
          <w:r>
            <w:fldChar w:fldCharType="begin"/>
          </w:r>
          <w:r>
            <w:instrText xml:space="preserve"> PAGEREF _Toc1517 \h </w:instrText>
          </w:r>
          <w:r>
            <w:fldChar w:fldCharType="separate"/>
          </w:r>
          <w:r>
            <w:t>1</w:t>
          </w:r>
          <w:r>
            <w:fldChar w:fldCharType="end"/>
          </w:r>
          <w:r>
            <w:fldChar w:fldCharType="end"/>
          </w:r>
        </w:p>
        <w:p w14:paraId="1D6A9AAE">
          <w:pPr>
            <w:pStyle w:val="11"/>
            <w:tabs>
              <w:tab w:val="right" w:leader="dot" w:pos="9026"/>
            </w:tabs>
          </w:pPr>
          <w:r>
            <w:fldChar w:fldCharType="begin"/>
          </w:r>
          <w:r>
            <w:instrText xml:space="preserve"> HYPERLINK \l _Toc14505 </w:instrText>
          </w:r>
          <w:r>
            <w:fldChar w:fldCharType="separate"/>
          </w:r>
          <w:r>
            <w:rPr>
              <w:rFonts w:ascii="宋体" w:hAnsi="宋体" w:eastAsia="宋体" w:cs="宋体"/>
              <w:bCs/>
              <w:szCs w:val="32"/>
            </w:rPr>
            <w:t>二、描述性统计分析</w:t>
          </w:r>
          <w:r>
            <w:tab/>
          </w:r>
          <w:r>
            <w:fldChar w:fldCharType="begin"/>
          </w:r>
          <w:r>
            <w:instrText xml:space="preserve"> PAGEREF _Toc14505 \h </w:instrText>
          </w:r>
          <w:r>
            <w:fldChar w:fldCharType="separate"/>
          </w:r>
          <w:r>
            <w:t>2</w:t>
          </w:r>
          <w:r>
            <w:fldChar w:fldCharType="end"/>
          </w:r>
          <w:r>
            <w:fldChar w:fldCharType="end"/>
          </w:r>
        </w:p>
        <w:p w14:paraId="0ECA081E">
          <w:pPr>
            <w:pStyle w:val="13"/>
            <w:tabs>
              <w:tab w:val="right" w:leader="dot" w:pos="9026"/>
            </w:tabs>
          </w:pPr>
          <w:r>
            <w:fldChar w:fldCharType="begin"/>
          </w:r>
          <w:r>
            <w:instrText xml:space="preserve"> HYPERLINK \l _Toc25880 </w:instrText>
          </w:r>
          <w:r>
            <w:fldChar w:fldCharType="separate"/>
          </w:r>
          <w:r>
            <w:rPr>
              <w:rFonts w:ascii="宋体" w:hAnsi="宋体" w:eastAsia="宋体" w:cs="宋体"/>
              <w:bCs/>
              <w:szCs w:val="28"/>
            </w:rPr>
            <w:t>2.1 变量概况</w:t>
          </w:r>
          <w:r>
            <w:tab/>
          </w:r>
          <w:r>
            <w:fldChar w:fldCharType="begin"/>
          </w:r>
          <w:r>
            <w:instrText xml:space="preserve"> PAGEREF _Toc25880 \h </w:instrText>
          </w:r>
          <w:r>
            <w:fldChar w:fldCharType="separate"/>
          </w:r>
          <w:r>
            <w:t>2</w:t>
          </w:r>
          <w:r>
            <w:fldChar w:fldCharType="end"/>
          </w:r>
          <w:r>
            <w:fldChar w:fldCharType="end"/>
          </w:r>
        </w:p>
        <w:p w14:paraId="43F8F41B">
          <w:pPr>
            <w:pStyle w:val="13"/>
            <w:tabs>
              <w:tab w:val="right" w:leader="dot" w:pos="9026"/>
            </w:tabs>
          </w:pPr>
          <w:r>
            <w:fldChar w:fldCharType="begin"/>
          </w:r>
          <w:r>
            <w:instrText xml:space="preserve"> HYPERLINK \l _Toc16017 </w:instrText>
          </w:r>
          <w:r>
            <w:fldChar w:fldCharType="separate"/>
          </w:r>
          <w:r>
            <w:rPr>
              <w:rFonts w:ascii="宋体" w:hAnsi="宋体" w:eastAsia="宋体" w:cs="宋体"/>
              <w:bCs/>
              <w:szCs w:val="28"/>
            </w:rPr>
            <w:t>2.2 描述性统计结果</w:t>
          </w:r>
          <w:r>
            <w:tab/>
          </w:r>
          <w:r>
            <w:fldChar w:fldCharType="begin"/>
          </w:r>
          <w:r>
            <w:instrText xml:space="preserve"> PAGEREF _Toc16017 \h </w:instrText>
          </w:r>
          <w:r>
            <w:fldChar w:fldCharType="separate"/>
          </w:r>
          <w:r>
            <w:t>2</w:t>
          </w:r>
          <w:r>
            <w:fldChar w:fldCharType="end"/>
          </w:r>
          <w:r>
            <w:fldChar w:fldCharType="end"/>
          </w:r>
        </w:p>
        <w:p w14:paraId="6006CE50">
          <w:pPr>
            <w:pStyle w:val="13"/>
            <w:tabs>
              <w:tab w:val="right" w:leader="dot" w:pos="9026"/>
            </w:tabs>
          </w:pPr>
          <w:r>
            <w:fldChar w:fldCharType="begin"/>
          </w:r>
          <w:r>
            <w:instrText xml:space="preserve"> HYPERLINK \l _Toc20422 </w:instrText>
          </w:r>
          <w:r>
            <w:fldChar w:fldCharType="separate"/>
          </w:r>
          <w:r>
            <w:rPr>
              <w:rFonts w:ascii="宋体" w:hAnsi="宋体" w:eastAsia="宋体" w:cs="宋体"/>
              <w:bCs/>
              <w:szCs w:val="28"/>
            </w:rPr>
            <w:t>2.3 变量分布</w:t>
          </w:r>
          <w:r>
            <w:tab/>
          </w:r>
          <w:r>
            <w:fldChar w:fldCharType="begin"/>
          </w:r>
          <w:r>
            <w:instrText xml:space="preserve"> PAGEREF _Toc20422 \h </w:instrText>
          </w:r>
          <w:r>
            <w:fldChar w:fldCharType="separate"/>
          </w:r>
          <w:r>
            <w:t>2</w:t>
          </w:r>
          <w:r>
            <w:fldChar w:fldCharType="end"/>
          </w:r>
          <w:r>
            <w:fldChar w:fldCharType="end"/>
          </w:r>
        </w:p>
        <w:p w14:paraId="36E5FB01">
          <w:pPr>
            <w:pStyle w:val="13"/>
            <w:tabs>
              <w:tab w:val="right" w:leader="dot" w:pos="9026"/>
            </w:tabs>
          </w:pPr>
          <w:r>
            <w:fldChar w:fldCharType="begin"/>
          </w:r>
          <w:r>
            <w:instrText xml:space="preserve"> HYPERLINK \l _Toc21881 </w:instrText>
          </w:r>
          <w:r>
            <w:fldChar w:fldCharType="separate"/>
          </w:r>
          <w:r>
            <w:rPr>
              <w:rFonts w:ascii="宋体" w:hAnsi="宋体" w:eastAsia="宋体" w:cs="宋体"/>
              <w:bCs/>
              <w:szCs w:val="28"/>
            </w:rPr>
            <w:t>2.4 相关性分析</w:t>
          </w:r>
          <w:r>
            <w:tab/>
          </w:r>
          <w:r>
            <w:fldChar w:fldCharType="begin"/>
          </w:r>
          <w:r>
            <w:instrText xml:space="preserve"> PAGEREF _Toc21881 \h </w:instrText>
          </w:r>
          <w:r>
            <w:fldChar w:fldCharType="separate"/>
          </w:r>
          <w:r>
            <w:t>3</w:t>
          </w:r>
          <w:r>
            <w:fldChar w:fldCharType="end"/>
          </w:r>
          <w:r>
            <w:fldChar w:fldCharType="end"/>
          </w:r>
        </w:p>
        <w:p w14:paraId="55C9907C">
          <w:pPr>
            <w:pStyle w:val="11"/>
            <w:tabs>
              <w:tab w:val="right" w:leader="dot" w:pos="9026"/>
            </w:tabs>
          </w:pPr>
          <w:r>
            <w:fldChar w:fldCharType="begin"/>
          </w:r>
          <w:r>
            <w:instrText xml:space="preserve"> HYPERLINK \l _Toc8662 </w:instrText>
          </w:r>
          <w:r>
            <w:fldChar w:fldCharType="separate"/>
          </w:r>
          <w:r>
            <w:rPr>
              <w:rFonts w:ascii="宋体" w:hAnsi="宋体" w:eastAsia="宋体" w:cs="宋体"/>
              <w:bCs/>
              <w:szCs w:val="32"/>
            </w:rPr>
            <w:t>三、研究方法</w:t>
          </w:r>
          <w:r>
            <w:tab/>
          </w:r>
          <w:r>
            <w:fldChar w:fldCharType="begin"/>
          </w:r>
          <w:r>
            <w:instrText xml:space="preserve"> PAGEREF _Toc8662 \h </w:instrText>
          </w:r>
          <w:r>
            <w:fldChar w:fldCharType="separate"/>
          </w:r>
          <w:r>
            <w:t>4</w:t>
          </w:r>
          <w:r>
            <w:fldChar w:fldCharType="end"/>
          </w:r>
          <w:r>
            <w:fldChar w:fldCharType="end"/>
          </w:r>
        </w:p>
        <w:p w14:paraId="635DF79B">
          <w:pPr>
            <w:pStyle w:val="13"/>
            <w:tabs>
              <w:tab w:val="right" w:leader="dot" w:pos="9026"/>
            </w:tabs>
          </w:pPr>
          <w:r>
            <w:fldChar w:fldCharType="begin"/>
          </w:r>
          <w:r>
            <w:instrText xml:space="preserve"> HYPERLINK \l _Toc18447 </w:instrText>
          </w:r>
          <w:r>
            <w:fldChar w:fldCharType="separate"/>
          </w:r>
          <w:r>
            <w:rPr>
              <w:rFonts w:ascii="宋体" w:hAnsi="宋体" w:eastAsia="宋体" w:cs="宋体"/>
              <w:bCs/>
              <w:szCs w:val="28"/>
            </w:rPr>
            <w:t>3.1 数据预处理</w:t>
          </w:r>
          <w:r>
            <w:tab/>
          </w:r>
          <w:r>
            <w:fldChar w:fldCharType="begin"/>
          </w:r>
          <w:r>
            <w:instrText xml:space="preserve"> PAGEREF _Toc18447 \h </w:instrText>
          </w:r>
          <w:r>
            <w:fldChar w:fldCharType="separate"/>
          </w:r>
          <w:r>
            <w:t>4</w:t>
          </w:r>
          <w:r>
            <w:fldChar w:fldCharType="end"/>
          </w:r>
          <w:r>
            <w:fldChar w:fldCharType="end"/>
          </w:r>
        </w:p>
        <w:p w14:paraId="27023EBA">
          <w:pPr>
            <w:pStyle w:val="13"/>
            <w:tabs>
              <w:tab w:val="right" w:leader="dot" w:pos="9026"/>
            </w:tabs>
          </w:pPr>
          <w:r>
            <w:fldChar w:fldCharType="begin"/>
          </w:r>
          <w:r>
            <w:instrText xml:space="preserve"> HYPERLINK \l _Toc2147 </w:instrText>
          </w:r>
          <w:r>
            <w:fldChar w:fldCharType="separate"/>
          </w:r>
          <w:r>
            <w:rPr>
              <w:rFonts w:ascii="宋体" w:hAnsi="宋体" w:eastAsia="宋体" w:cs="宋体"/>
              <w:bCs/>
              <w:szCs w:val="28"/>
            </w:rPr>
            <w:t>3.2 主成分分析（PCA）</w:t>
          </w:r>
          <w:r>
            <w:tab/>
          </w:r>
          <w:r>
            <w:fldChar w:fldCharType="begin"/>
          </w:r>
          <w:r>
            <w:instrText xml:space="preserve"> PAGEREF _Toc2147 \h </w:instrText>
          </w:r>
          <w:r>
            <w:fldChar w:fldCharType="separate"/>
          </w:r>
          <w:r>
            <w:t>4</w:t>
          </w:r>
          <w:r>
            <w:fldChar w:fldCharType="end"/>
          </w:r>
          <w:r>
            <w:fldChar w:fldCharType="end"/>
          </w:r>
        </w:p>
        <w:p w14:paraId="0A1F8252">
          <w:pPr>
            <w:pStyle w:val="13"/>
            <w:tabs>
              <w:tab w:val="right" w:leader="dot" w:pos="9026"/>
            </w:tabs>
          </w:pPr>
          <w:r>
            <w:fldChar w:fldCharType="begin"/>
          </w:r>
          <w:r>
            <w:instrText xml:space="preserve"> HYPERLINK \l _Toc28571 </w:instrText>
          </w:r>
          <w:r>
            <w:fldChar w:fldCharType="separate"/>
          </w:r>
          <w:r>
            <w:rPr>
              <w:rFonts w:ascii="宋体" w:hAnsi="宋体" w:eastAsia="宋体" w:cs="宋体"/>
              <w:bCs/>
              <w:szCs w:val="28"/>
            </w:rPr>
            <w:t>3.3 随机森林回归</w:t>
          </w:r>
          <w:r>
            <w:tab/>
          </w:r>
          <w:r>
            <w:fldChar w:fldCharType="begin"/>
          </w:r>
          <w:r>
            <w:instrText xml:space="preserve"> PAGEREF _Toc28571 \h </w:instrText>
          </w:r>
          <w:r>
            <w:fldChar w:fldCharType="separate"/>
          </w:r>
          <w:r>
            <w:t>5</w:t>
          </w:r>
          <w:r>
            <w:fldChar w:fldCharType="end"/>
          </w:r>
          <w:r>
            <w:fldChar w:fldCharType="end"/>
          </w:r>
        </w:p>
        <w:p w14:paraId="5368AF66">
          <w:pPr>
            <w:pStyle w:val="13"/>
            <w:tabs>
              <w:tab w:val="right" w:leader="dot" w:pos="9026"/>
            </w:tabs>
          </w:pPr>
          <w:r>
            <w:fldChar w:fldCharType="begin"/>
          </w:r>
          <w:r>
            <w:instrText xml:space="preserve"> HYPERLINK \l _Toc15816 </w:instrText>
          </w:r>
          <w:r>
            <w:fldChar w:fldCharType="separate"/>
          </w:r>
          <w:r>
            <w:rPr>
              <w:rFonts w:ascii="宋体" w:hAnsi="宋体" w:eastAsia="宋体" w:cs="宋体"/>
              <w:bCs/>
              <w:szCs w:val="28"/>
            </w:rPr>
            <w:t>3.4 支持向量机回归（SVR）</w:t>
          </w:r>
          <w:r>
            <w:tab/>
          </w:r>
          <w:r>
            <w:fldChar w:fldCharType="begin"/>
          </w:r>
          <w:r>
            <w:instrText xml:space="preserve"> PAGEREF _Toc15816 \h </w:instrText>
          </w:r>
          <w:r>
            <w:fldChar w:fldCharType="separate"/>
          </w:r>
          <w:r>
            <w:t>5</w:t>
          </w:r>
          <w:r>
            <w:fldChar w:fldCharType="end"/>
          </w:r>
          <w:r>
            <w:fldChar w:fldCharType="end"/>
          </w:r>
        </w:p>
        <w:p w14:paraId="0BB901E9">
          <w:pPr>
            <w:pStyle w:val="13"/>
            <w:tabs>
              <w:tab w:val="right" w:leader="dot" w:pos="9026"/>
            </w:tabs>
          </w:pPr>
          <w:r>
            <w:fldChar w:fldCharType="begin"/>
          </w:r>
          <w:r>
            <w:instrText xml:space="preserve"> HYPERLINK \l _Toc4727 </w:instrText>
          </w:r>
          <w:r>
            <w:fldChar w:fldCharType="separate"/>
          </w:r>
          <w:r>
            <w:rPr>
              <w:rFonts w:ascii="宋体" w:hAnsi="宋体" w:eastAsia="宋体" w:cs="宋体"/>
              <w:bCs/>
              <w:szCs w:val="28"/>
            </w:rPr>
            <w:t>3.5 模型评价指标</w:t>
          </w:r>
          <w:r>
            <w:tab/>
          </w:r>
          <w:r>
            <w:fldChar w:fldCharType="begin"/>
          </w:r>
          <w:r>
            <w:instrText xml:space="preserve"> PAGEREF _Toc4727 \h </w:instrText>
          </w:r>
          <w:r>
            <w:fldChar w:fldCharType="separate"/>
          </w:r>
          <w:r>
            <w:t>5</w:t>
          </w:r>
          <w:r>
            <w:fldChar w:fldCharType="end"/>
          </w:r>
          <w:r>
            <w:fldChar w:fldCharType="end"/>
          </w:r>
        </w:p>
        <w:p w14:paraId="6A7F669C">
          <w:pPr>
            <w:pStyle w:val="11"/>
            <w:tabs>
              <w:tab w:val="right" w:leader="dot" w:pos="9026"/>
            </w:tabs>
          </w:pPr>
          <w:r>
            <w:fldChar w:fldCharType="begin"/>
          </w:r>
          <w:r>
            <w:instrText xml:space="preserve"> HYPERLINK \l _Toc14005 </w:instrText>
          </w:r>
          <w:r>
            <w:fldChar w:fldCharType="separate"/>
          </w:r>
          <w:r>
            <w:rPr>
              <w:rFonts w:ascii="宋体" w:hAnsi="宋体" w:eastAsia="宋体" w:cs="宋体"/>
              <w:bCs/>
              <w:szCs w:val="32"/>
            </w:rPr>
            <w:t>四、实证分析结果</w:t>
          </w:r>
          <w:r>
            <w:tab/>
          </w:r>
          <w:r>
            <w:fldChar w:fldCharType="begin"/>
          </w:r>
          <w:r>
            <w:instrText xml:space="preserve"> PAGEREF _Toc14005 \h </w:instrText>
          </w:r>
          <w:r>
            <w:fldChar w:fldCharType="separate"/>
          </w:r>
          <w:r>
            <w:t>6</w:t>
          </w:r>
          <w:r>
            <w:fldChar w:fldCharType="end"/>
          </w:r>
          <w:r>
            <w:fldChar w:fldCharType="end"/>
          </w:r>
        </w:p>
        <w:p w14:paraId="3D6CB5E9">
          <w:pPr>
            <w:pStyle w:val="13"/>
            <w:tabs>
              <w:tab w:val="right" w:leader="dot" w:pos="9026"/>
            </w:tabs>
          </w:pPr>
          <w:r>
            <w:fldChar w:fldCharType="begin"/>
          </w:r>
          <w:r>
            <w:instrText xml:space="preserve"> HYPERLINK \l _Toc843 </w:instrText>
          </w:r>
          <w:r>
            <w:fldChar w:fldCharType="separate"/>
          </w:r>
          <w:r>
            <w:rPr>
              <w:rFonts w:ascii="宋体" w:hAnsi="宋体" w:eastAsia="宋体" w:cs="宋体"/>
              <w:bCs/>
              <w:szCs w:val="28"/>
            </w:rPr>
            <w:t>4.1 基线模型性能</w:t>
          </w:r>
          <w:r>
            <w:tab/>
          </w:r>
          <w:r>
            <w:fldChar w:fldCharType="begin"/>
          </w:r>
          <w:r>
            <w:instrText xml:space="preserve"> PAGEREF _Toc843 \h </w:instrText>
          </w:r>
          <w:r>
            <w:fldChar w:fldCharType="separate"/>
          </w:r>
          <w:r>
            <w:t>6</w:t>
          </w:r>
          <w:r>
            <w:fldChar w:fldCharType="end"/>
          </w:r>
          <w:r>
            <w:fldChar w:fldCharType="end"/>
          </w:r>
        </w:p>
        <w:p w14:paraId="36520D35">
          <w:pPr>
            <w:pStyle w:val="13"/>
            <w:tabs>
              <w:tab w:val="right" w:leader="dot" w:pos="9026"/>
            </w:tabs>
          </w:pPr>
          <w:r>
            <w:fldChar w:fldCharType="begin"/>
          </w:r>
          <w:r>
            <w:instrText xml:space="preserve"> HYPERLINK \l _Toc20743 </w:instrText>
          </w:r>
          <w:r>
            <w:fldChar w:fldCharType="separate"/>
          </w:r>
          <w:r>
            <w:rPr>
              <w:rFonts w:ascii="宋体" w:hAnsi="宋体" w:eastAsia="宋体" w:cs="宋体"/>
              <w:bCs/>
              <w:szCs w:val="28"/>
            </w:rPr>
            <w:t>4.2 K折交叉验证与参数调优</w:t>
          </w:r>
          <w:r>
            <w:tab/>
          </w:r>
          <w:r>
            <w:fldChar w:fldCharType="begin"/>
          </w:r>
          <w:r>
            <w:instrText xml:space="preserve"> PAGEREF _Toc20743 \h </w:instrText>
          </w:r>
          <w:r>
            <w:fldChar w:fldCharType="separate"/>
          </w:r>
          <w:r>
            <w:t>6</w:t>
          </w:r>
          <w:r>
            <w:fldChar w:fldCharType="end"/>
          </w:r>
          <w:r>
            <w:fldChar w:fldCharType="end"/>
          </w:r>
        </w:p>
        <w:p w14:paraId="0B72CB1B">
          <w:pPr>
            <w:pStyle w:val="13"/>
            <w:tabs>
              <w:tab w:val="right" w:leader="dot" w:pos="9026"/>
            </w:tabs>
          </w:pPr>
          <w:r>
            <w:fldChar w:fldCharType="begin"/>
          </w:r>
          <w:r>
            <w:instrText xml:space="preserve"> HYPERLINK \l _Toc28428 </w:instrText>
          </w:r>
          <w:r>
            <w:fldChar w:fldCharType="separate"/>
          </w:r>
          <w:r>
            <w:rPr>
              <w:rFonts w:ascii="宋体" w:hAnsi="宋体" w:eastAsia="宋体" w:cs="宋体"/>
              <w:bCs/>
              <w:szCs w:val="28"/>
            </w:rPr>
            <w:t>4.3 调优后模型性能对比</w:t>
          </w:r>
          <w:r>
            <w:tab/>
          </w:r>
          <w:r>
            <w:fldChar w:fldCharType="begin"/>
          </w:r>
          <w:r>
            <w:instrText xml:space="preserve"> PAGEREF _Toc28428 \h </w:instrText>
          </w:r>
          <w:r>
            <w:fldChar w:fldCharType="separate"/>
          </w:r>
          <w:r>
            <w:t>7</w:t>
          </w:r>
          <w:r>
            <w:fldChar w:fldCharType="end"/>
          </w:r>
          <w:r>
            <w:fldChar w:fldCharType="end"/>
          </w:r>
        </w:p>
        <w:p w14:paraId="60213F15">
          <w:pPr>
            <w:pStyle w:val="13"/>
            <w:tabs>
              <w:tab w:val="right" w:leader="dot" w:pos="9026"/>
            </w:tabs>
          </w:pPr>
          <w:r>
            <w:fldChar w:fldCharType="begin"/>
          </w:r>
          <w:r>
            <w:instrText xml:space="preserve"> HYPERLINK \l _Toc23102 </w:instrText>
          </w:r>
          <w:r>
            <w:fldChar w:fldCharType="separate"/>
          </w:r>
          <w:r>
            <w:rPr>
              <w:rFonts w:ascii="宋体" w:hAnsi="宋体" w:eastAsia="宋体" w:cs="宋体"/>
              <w:bCs/>
              <w:szCs w:val="28"/>
            </w:rPr>
            <w:t>4.4 实际值与预测值对比</w:t>
          </w:r>
          <w:r>
            <w:tab/>
          </w:r>
          <w:r>
            <w:fldChar w:fldCharType="begin"/>
          </w:r>
          <w:r>
            <w:instrText xml:space="preserve"> PAGEREF _Toc23102 \h </w:instrText>
          </w:r>
          <w:r>
            <w:fldChar w:fldCharType="separate"/>
          </w:r>
          <w:r>
            <w:t>7</w:t>
          </w:r>
          <w:r>
            <w:fldChar w:fldCharType="end"/>
          </w:r>
          <w:r>
            <w:fldChar w:fldCharType="end"/>
          </w:r>
        </w:p>
        <w:p w14:paraId="4E772B34">
          <w:pPr>
            <w:pStyle w:val="13"/>
            <w:tabs>
              <w:tab w:val="right" w:leader="dot" w:pos="9026"/>
            </w:tabs>
          </w:pPr>
          <w:r>
            <w:fldChar w:fldCharType="begin"/>
          </w:r>
          <w:r>
            <w:instrText xml:space="preserve"> HYPERLINK \l _Toc30739 </w:instrText>
          </w:r>
          <w:r>
            <w:fldChar w:fldCharType="separate"/>
          </w:r>
          <w:r>
            <w:rPr>
              <w:rFonts w:ascii="宋体" w:hAnsi="宋体" w:eastAsia="宋体" w:cs="宋体"/>
              <w:bCs/>
              <w:szCs w:val="28"/>
            </w:rPr>
            <w:t>4.5 特征重要性分析</w:t>
          </w:r>
          <w:r>
            <w:tab/>
          </w:r>
          <w:r>
            <w:fldChar w:fldCharType="begin"/>
          </w:r>
          <w:r>
            <w:instrText xml:space="preserve"> PAGEREF _Toc30739 \h </w:instrText>
          </w:r>
          <w:r>
            <w:fldChar w:fldCharType="separate"/>
          </w:r>
          <w:r>
            <w:t>8</w:t>
          </w:r>
          <w:r>
            <w:fldChar w:fldCharType="end"/>
          </w:r>
          <w:r>
            <w:fldChar w:fldCharType="end"/>
          </w:r>
        </w:p>
        <w:p w14:paraId="3F8E8CCE">
          <w:pPr>
            <w:pStyle w:val="11"/>
            <w:tabs>
              <w:tab w:val="right" w:leader="dot" w:pos="9026"/>
            </w:tabs>
          </w:pPr>
          <w:r>
            <w:fldChar w:fldCharType="begin"/>
          </w:r>
          <w:r>
            <w:instrText xml:space="preserve"> HYPERLINK \l _Toc12999 </w:instrText>
          </w:r>
          <w:r>
            <w:fldChar w:fldCharType="separate"/>
          </w:r>
          <w:r>
            <w:rPr>
              <w:rFonts w:ascii="宋体" w:hAnsi="宋体" w:eastAsia="宋体" w:cs="宋体"/>
              <w:bCs/>
              <w:szCs w:val="32"/>
            </w:rPr>
            <w:t>五、经济分析与讨论</w:t>
          </w:r>
          <w:r>
            <w:tab/>
          </w:r>
          <w:r>
            <w:fldChar w:fldCharType="begin"/>
          </w:r>
          <w:r>
            <w:instrText xml:space="preserve"> PAGEREF _Toc12999 \h </w:instrText>
          </w:r>
          <w:r>
            <w:fldChar w:fldCharType="separate"/>
          </w:r>
          <w:r>
            <w:t>9</w:t>
          </w:r>
          <w:r>
            <w:fldChar w:fldCharType="end"/>
          </w:r>
          <w:r>
            <w:fldChar w:fldCharType="end"/>
          </w:r>
        </w:p>
        <w:p w14:paraId="19A4A97E">
          <w:pPr>
            <w:pStyle w:val="13"/>
            <w:tabs>
              <w:tab w:val="right" w:leader="dot" w:pos="9026"/>
            </w:tabs>
          </w:pPr>
          <w:r>
            <w:fldChar w:fldCharType="begin"/>
          </w:r>
          <w:r>
            <w:instrText xml:space="preserve"> HYPERLINK \l _Toc28355 </w:instrText>
          </w:r>
          <w:r>
            <w:fldChar w:fldCharType="separate"/>
          </w:r>
          <w:r>
            <w:rPr>
              <w:rFonts w:ascii="宋体" w:hAnsi="宋体" w:eastAsia="宋体" w:cs="宋体"/>
              <w:bCs/>
              <w:szCs w:val="28"/>
            </w:rPr>
            <w:t>5.1 收入因素的核心驱动作用</w:t>
          </w:r>
          <w:r>
            <w:tab/>
          </w:r>
          <w:r>
            <w:fldChar w:fldCharType="begin"/>
          </w:r>
          <w:r>
            <w:instrText xml:space="preserve"> PAGEREF _Toc28355 \h </w:instrText>
          </w:r>
          <w:r>
            <w:fldChar w:fldCharType="separate"/>
          </w:r>
          <w:r>
            <w:t>9</w:t>
          </w:r>
          <w:r>
            <w:fldChar w:fldCharType="end"/>
          </w:r>
          <w:r>
            <w:fldChar w:fldCharType="end"/>
          </w:r>
        </w:p>
        <w:p w14:paraId="1D7F50EE">
          <w:pPr>
            <w:pStyle w:val="13"/>
            <w:tabs>
              <w:tab w:val="right" w:leader="dot" w:pos="9026"/>
            </w:tabs>
          </w:pPr>
          <w:r>
            <w:fldChar w:fldCharType="begin"/>
          </w:r>
          <w:r>
            <w:instrText xml:space="preserve"> HYPERLINK \l _Toc15478 </w:instrText>
          </w:r>
          <w:r>
            <w:fldChar w:fldCharType="separate"/>
          </w:r>
          <w:r>
            <w:rPr>
              <w:rFonts w:ascii="宋体" w:hAnsi="宋体" w:eastAsia="宋体" w:cs="宋体"/>
              <w:bCs/>
              <w:szCs w:val="28"/>
            </w:rPr>
            <w:t>5.2 区位效应与空间异质性</w:t>
          </w:r>
          <w:r>
            <w:tab/>
          </w:r>
          <w:r>
            <w:fldChar w:fldCharType="begin"/>
          </w:r>
          <w:r>
            <w:instrText xml:space="preserve"> PAGEREF _Toc15478 \h </w:instrText>
          </w:r>
          <w:r>
            <w:fldChar w:fldCharType="separate"/>
          </w:r>
          <w:r>
            <w:t>9</w:t>
          </w:r>
          <w:r>
            <w:fldChar w:fldCharType="end"/>
          </w:r>
          <w:r>
            <w:fldChar w:fldCharType="end"/>
          </w:r>
        </w:p>
        <w:p w14:paraId="49679EE8">
          <w:pPr>
            <w:pStyle w:val="13"/>
            <w:tabs>
              <w:tab w:val="right" w:leader="dot" w:pos="9026"/>
            </w:tabs>
          </w:pPr>
          <w:r>
            <w:fldChar w:fldCharType="begin"/>
          </w:r>
          <w:r>
            <w:instrText xml:space="preserve"> HYPERLINK \l _Toc15516 </w:instrText>
          </w:r>
          <w:r>
            <w:fldChar w:fldCharType="separate"/>
          </w:r>
          <w:r>
            <w:rPr>
              <w:rFonts w:ascii="宋体" w:hAnsi="宋体" w:eastAsia="宋体" w:cs="宋体"/>
              <w:bCs/>
              <w:szCs w:val="28"/>
            </w:rPr>
            <w:t>5.3 供需结构与人口因素</w:t>
          </w:r>
          <w:r>
            <w:tab/>
          </w:r>
          <w:r>
            <w:fldChar w:fldCharType="begin"/>
          </w:r>
          <w:r>
            <w:instrText xml:space="preserve"> PAGEREF _Toc15516 \h </w:instrText>
          </w:r>
          <w:r>
            <w:fldChar w:fldCharType="separate"/>
          </w:r>
          <w:r>
            <w:t>9</w:t>
          </w:r>
          <w:r>
            <w:fldChar w:fldCharType="end"/>
          </w:r>
          <w:r>
            <w:fldChar w:fldCharType="end"/>
          </w:r>
        </w:p>
        <w:p w14:paraId="1642A8B3">
          <w:pPr>
            <w:pStyle w:val="13"/>
            <w:tabs>
              <w:tab w:val="right" w:leader="dot" w:pos="9026"/>
            </w:tabs>
          </w:pPr>
          <w:r>
            <w:fldChar w:fldCharType="begin"/>
          </w:r>
          <w:r>
            <w:instrText xml:space="preserve"> HYPERLINK \l _Toc30172 </w:instrText>
          </w:r>
          <w:r>
            <w:fldChar w:fldCharType="separate"/>
          </w:r>
          <w:r>
            <w:rPr>
              <w:rFonts w:ascii="宋体" w:hAnsi="宋体" w:eastAsia="宋体" w:cs="宋体"/>
              <w:bCs/>
              <w:szCs w:val="28"/>
            </w:rPr>
            <w:t>5.4 住房属性与折旧效应</w:t>
          </w:r>
          <w:r>
            <w:tab/>
          </w:r>
          <w:r>
            <w:fldChar w:fldCharType="begin"/>
          </w:r>
          <w:r>
            <w:instrText xml:space="preserve"> PAGEREF _Toc30172 \h </w:instrText>
          </w:r>
          <w:r>
            <w:fldChar w:fldCharType="separate"/>
          </w:r>
          <w:r>
            <w:t>10</w:t>
          </w:r>
          <w:r>
            <w:fldChar w:fldCharType="end"/>
          </w:r>
          <w:r>
            <w:fldChar w:fldCharType="end"/>
          </w:r>
        </w:p>
        <w:p w14:paraId="46D9452C">
          <w:pPr>
            <w:pStyle w:val="13"/>
            <w:tabs>
              <w:tab w:val="right" w:leader="dot" w:pos="9026"/>
            </w:tabs>
          </w:pPr>
          <w:r>
            <w:fldChar w:fldCharType="begin"/>
          </w:r>
          <w:r>
            <w:instrText xml:space="preserve"> HYPERLINK \l _Toc31919 </w:instrText>
          </w:r>
          <w:r>
            <w:fldChar w:fldCharType="separate"/>
          </w:r>
          <w:r>
            <w:rPr>
              <w:rFonts w:ascii="宋体" w:hAnsi="宋体" w:eastAsia="宋体" w:cs="宋体"/>
              <w:bCs/>
              <w:szCs w:val="28"/>
            </w:rPr>
            <w:t>5.5 模型选择的经济学启示</w:t>
          </w:r>
          <w:r>
            <w:tab/>
          </w:r>
          <w:r>
            <w:fldChar w:fldCharType="begin"/>
          </w:r>
          <w:r>
            <w:instrText xml:space="preserve"> PAGEREF _Toc31919 \h </w:instrText>
          </w:r>
          <w:r>
            <w:fldChar w:fldCharType="separate"/>
          </w:r>
          <w:r>
            <w:t>10</w:t>
          </w:r>
          <w:r>
            <w:fldChar w:fldCharType="end"/>
          </w:r>
          <w:r>
            <w:fldChar w:fldCharType="end"/>
          </w:r>
        </w:p>
        <w:p w14:paraId="0AB3936F">
          <w:pPr>
            <w:pStyle w:val="11"/>
            <w:tabs>
              <w:tab w:val="right" w:leader="dot" w:pos="9026"/>
            </w:tabs>
          </w:pPr>
          <w:r>
            <w:fldChar w:fldCharType="begin"/>
          </w:r>
          <w:r>
            <w:instrText xml:space="preserve"> HYPERLINK \l _Toc29036 </w:instrText>
          </w:r>
          <w:r>
            <w:fldChar w:fldCharType="separate"/>
          </w:r>
          <w:r>
            <w:rPr>
              <w:rFonts w:ascii="宋体" w:hAnsi="宋体" w:eastAsia="宋体" w:cs="宋体"/>
              <w:bCs/>
              <w:szCs w:val="32"/>
            </w:rPr>
            <w:t>六、结论与展望</w:t>
          </w:r>
          <w:r>
            <w:tab/>
          </w:r>
          <w:r>
            <w:fldChar w:fldCharType="begin"/>
          </w:r>
          <w:r>
            <w:instrText xml:space="preserve"> PAGEREF _Toc29036 \h </w:instrText>
          </w:r>
          <w:r>
            <w:fldChar w:fldCharType="separate"/>
          </w:r>
          <w:r>
            <w:t>10</w:t>
          </w:r>
          <w:r>
            <w:fldChar w:fldCharType="end"/>
          </w:r>
          <w:r>
            <w:fldChar w:fldCharType="end"/>
          </w:r>
        </w:p>
        <w:p w14:paraId="66848293">
          <w:pPr>
            <w:pStyle w:val="13"/>
            <w:tabs>
              <w:tab w:val="right" w:leader="dot" w:pos="9026"/>
            </w:tabs>
          </w:pPr>
          <w:r>
            <w:fldChar w:fldCharType="begin"/>
          </w:r>
          <w:r>
            <w:instrText xml:space="preserve"> HYPERLINK \l _Toc21701 </w:instrText>
          </w:r>
          <w:r>
            <w:fldChar w:fldCharType="separate"/>
          </w:r>
          <w:r>
            <w:rPr>
              <w:rFonts w:ascii="宋体" w:hAnsi="宋体" w:eastAsia="宋体" w:cs="宋体"/>
              <w:bCs/>
              <w:szCs w:val="28"/>
            </w:rPr>
            <w:t>6.1 主要结论</w:t>
          </w:r>
          <w:r>
            <w:tab/>
          </w:r>
          <w:r>
            <w:fldChar w:fldCharType="begin"/>
          </w:r>
          <w:r>
            <w:instrText xml:space="preserve"> PAGEREF _Toc21701 \h </w:instrText>
          </w:r>
          <w:r>
            <w:fldChar w:fldCharType="separate"/>
          </w:r>
          <w:r>
            <w:t>10</w:t>
          </w:r>
          <w:r>
            <w:fldChar w:fldCharType="end"/>
          </w:r>
          <w:r>
            <w:fldChar w:fldCharType="end"/>
          </w:r>
        </w:p>
        <w:p w14:paraId="66BC02B8">
          <w:pPr>
            <w:pStyle w:val="13"/>
            <w:tabs>
              <w:tab w:val="right" w:leader="dot" w:pos="9026"/>
            </w:tabs>
          </w:pPr>
          <w:r>
            <w:fldChar w:fldCharType="begin"/>
          </w:r>
          <w:r>
            <w:instrText xml:space="preserve"> HYPERLINK \l _Toc3710 </w:instrText>
          </w:r>
          <w:r>
            <w:fldChar w:fldCharType="separate"/>
          </w:r>
          <w:r>
            <w:rPr>
              <w:rFonts w:ascii="宋体" w:hAnsi="宋体" w:eastAsia="宋体" w:cs="宋体"/>
              <w:bCs/>
              <w:szCs w:val="28"/>
            </w:rPr>
            <w:t>6.2 研究局限</w:t>
          </w:r>
          <w:r>
            <w:tab/>
          </w:r>
          <w:r>
            <w:fldChar w:fldCharType="begin"/>
          </w:r>
          <w:r>
            <w:instrText xml:space="preserve"> PAGEREF _Toc3710 \h </w:instrText>
          </w:r>
          <w:r>
            <w:fldChar w:fldCharType="separate"/>
          </w:r>
          <w:r>
            <w:t>11</w:t>
          </w:r>
          <w:r>
            <w:fldChar w:fldCharType="end"/>
          </w:r>
          <w:r>
            <w:fldChar w:fldCharType="end"/>
          </w:r>
        </w:p>
        <w:p w14:paraId="30A21D34">
          <w:pPr>
            <w:pStyle w:val="13"/>
            <w:tabs>
              <w:tab w:val="right" w:leader="dot" w:pos="9026"/>
            </w:tabs>
          </w:pPr>
          <w:r>
            <w:fldChar w:fldCharType="begin"/>
          </w:r>
          <w:r>
            <w:instrText xml:space="preserve"> HYPERLINK \l _Toc31933 </w:instrText>
          </w:r>
          <w:r>
            <w:fldChar w:fldCharType="separate"/>
          </w:r>
          <w:r>
            <w:rPr>
              <w:rFonts w:ascii="宋体" w:hAnsi="宋体" w:eastAsia="宋体" w:cs="宋体"/>
              <w:bCs/>
              <w:szCs w:val="28"/>
            </w:rPr>
            <w:t>6.3 未来展望</w:t>
          </w:r>
          <w:r>
            <w:tab/>
          </w:r>
          <w:r>
            <w:fldChar w:fldCharType="begin"/>
          </w:r>
          <w:r>
            <w:instrText xml:space="preserve"> PAGEREF _Toc31933 \h </w:instrText>
          </w:r>
          <w:r>
            <w:fldChar w:fldCharType="separate"/>
          </w:r>
          <w:r>
            <w:t>11</w:t>
          </w:r>
          <w:r>
            <w:fldChar w:fldCharType="end"/>
          </w:r>
          <w:r>
            <w:fldChar w:fldCharType="end"/>
          </w:r>
        </w:p>
        <w:p w14:paraId="15B71187">
          <w:pPr>
            <w:pStyle w:val="11"/>
            <w:tabs>
              <w:tab w:val="right" w:leader="dot" w:pos="9026"/>
            </w:tabs>
          </w:pPr>
          <w:r>
            <w:fldChar w:fldCharType="begin"/>
          </w:r>
          <w:r>
            <w:instrText xml:space="preserve"> HYPERLINK \l _Toc19376 </w:instrText>
          </w:r>
          <w:r>
            <w:fldChar w:fldCharType="separate"/>
          </w:r>
          <w:r>
            <w:rPr>
              <w:rFonts w:ascii="宋体" w:hAnsi="宋体" w:eastAsia="宋体" w:cs="宋体"/>
              <w:bCs/>
              <w:szCs w:val="32"/>
            </w:rPr>
            <w:t>参考文献</w:t>
          </w:r>
          <w:r>
            <w:tab/>
          </w:r>
          <w:r>
            <w:fldChar w:fldCharType="begin"/>
          </w:r>
          <w:r>
            <w:instrText xml:space="preserve"> PAGEREF _Toc19376 \h </w:instrText>
          </w:r>
          <w:r>
            <w:fldChar w:fldCharType="separate"/>
          </w:r>
          <w:r>
            <w:t>12</w:t>
          </w:r>
          <w:r>
            <w:fldChar w:fldCharType="end"/>
          </w:r>
          <w:r>
            <w:fldChar w:fldCharType="end"/>
          </w:r>
        </w:p>
        <w:p w14:paraId="533115C3">
          <w:r>
            <w:fldChar w:fldCharType="end"/>
          </w:r>
        </w:p>
      </w:sdtContent>
    </w:sdt>
    <w:p w14:paraId="75ACD77B">
      <w:pPr>
        <w:pStyle w:val="2"/>
        <w:spacing w:before="240" w:after="120" w:line="360" w:lineRule="auto"/>
        <w:jc w:val="left"/>
        <w:rPr>
          <w:rFonts w:ascii="宋体" w:hAnsi="宋体" w:eastAsia="宋体" w:cs="宋体"/>
          <w:b/>
          <w:bCs/>
          <w:sz w:val="32"/>
          <w:szCs w:val="32"/>
        </w:rPr>
        <w:sectPr>
          <w:headerReference r:id="rId3" w:type="default"/>
          <w:footerReference r:id="rId4" w:type="default"/>
          <w:pgSz w:w="11906" w:h="16838"/>
          <w:pgMar w:top="1440" w:right="1440" w:bottom="1440" w:left="1440" w:header="708" w:footer="708" w:gutter="0"/>
          <w:cols w:space="720" w:num="1"/>
          <w:docGrid w:linePitch="360" w:charSpace="0"/>
        </w:sectPr>
      </w:pPr>
    </w:p>
    <w:p w14:paraId="7BBBADD0">
      <w:pPr>
        <w:pStyle w:val="2"/>
        <w:spacing w:before="240" w:after="120" w:line="360" w:lineRule="auto"/>
        <w:jc w:val="left"/>
      </w:pPr>
      <w:bookmarkStart w:id="0" w:name="_Toc27303"/>
      <w:r>
        <w:rPr>
          <w:rFonts w:ascii="宋体" w:hAnsi="宋体" w:eastAsia="宋体" w:cs="宋体"/>
          <w:b/>
          <w:bCs/>
          <w:sz w:val="32"/>
          <w:szCs w:val="32"/>
        </w:rPr>
        <w:t>一、引言</w:t>
      </w:r>
      <w:bookmarkEnd w:id="0"/>
    </w:p>
    <w:p w14:paraId="5BE4EA51">
      <w:pPr>
        <w:pStyle w:val="3"/>
        <w:spacing w:before="200" w:after="100" w:line="360" w:lineRule="auto"/>
        <w:jc w:val="left"/>
      </w:pPr>
      <w:bookmarkStart w:id="1" w:name="_Toc14156"/>
      <w:r>
        <w:rPr>
          <w:rFonts w:ascii="宋体" w:hAnsi="宋体" w:eastAsia="宋体" w:cs="宋体"/>
          <w:b/>
          <w:bCs/>
          <w:sz w:val="28"/>
          <w:szCs w:val="28"/>
        </w:rPr>
        <w:t>1.1 研究背景</w:t>
      </w:r>
      <w:bookmarkEnd w:id="1"/>
    </w:p>
    <w:p w14:paraId="6A0E2C45">
      <w:pPr>
        <w:spacing w:before="0" w:after="0" w:line="400" w:lineRule="auto"/>
        <w:ind w:firstLine="480"/>
        <w:jc w:val="both"/>
      </w:pPr>
      <w:r>
        <w:rPr>
          <w:rFonts w:ascii="宋体" w:hAnsi="宋体" w:eastAsia="宋体" w:cs="宋体"/>
          <w:sz w:val="24"/>
          <w:szCs w:val="24"/>
        </w:rPr>
        <w:t>住房价格是反映区域经济发展水平的核心指标之一，其波动不仅影响居民财富分配与消费决策，还与金融系统稳定性密切相关。在美国加利福尼亚州，由于人口持续增长、土地资源有限以及产业结构升级，住房市场长期处于供需紧张状态，房价水平显著高于全国平均水平。因此，准确预测加州住房价格对于政府制定住房政策、投资者进行资产配置以及居民做出购房决策具有重要的现实意义。</w:t>
      </w:r>
    </w:p>
    <w:p w14:paraId="1E258CEB">
      <w:pPr>
        <w:spacing w:before="0" w:after="0" w:line="400" w:lineRule="auto"/>
        <w:ind w:firstLine="480"/>
        <w:jc w:val="both"/>
      </w:pPr>
      <w:r>
        <w:rPr>
          <w:rFonts w:ascii="宋体" w:hAnsi="宋体" w:eastAsia="宋体" w:cs="宋体"/>
          <w:sz w:val="24"/>
          <w:szCs w:val="24"/>
        </w:rPr>
        <w:t>近年来，随着大数据技术与机器学习方法的快速发展，数据驱动的房价预测模型逐渐成为经济学研究的重要工具。相比传统的计量经济学方法（如多元线性回归、特征价格模型），机器学习算法能够更好地捕捉变量间的非线性关系和交互效应，从而提升预测精度。</w:t>
      </w:r>
    </w:p>
    <w:p w14:paraId="4FF76418">
      <w:pPr>
        <w:pStyle w:val="3"/>
        <w:spacing w:before="200" w:after="100" w:line="360" w:lineRule="auto"/>
        <w:jc w:val="left"/>
      </w:pPr>
      <w:bookmarkStart w:id="2" w:name="_Toc14898"/>
      <w:r>
        <w:rPr>
          <w:rFonts w:ascii="宋体" w:hAnsi="宋体" w:eastAsia="宋体" w:cs="宋体"/>
          <w:b/>
          <w:bCs/>
          <w:sz w:val="28"/>
          <w:szCs w:val="28"/>
        </w:rPr>
        <w:t>1.2 研究目的</w:t>
      </w:r>
      <w:bookmarkEnd w:id="2"/>
    </w:p>
    <w:p w14:paraId="683E499B">
      <w:pPr>
        <w:spacing w:before="0" w:after="0" w:line="400" w:lineRule="auto"/>
        <w:ind w:firstLine="480"/>
        <w:jc w:val="both"/>
      </w:pPr>
      <w:r>
        <w:rPr>
          <w:rFonts w:ascii="宋体" w:hAnsi="宋体" w:eastAsia="宋体" w:cs="宋体"/>
          <w:sz w:val="24"/>
          <w:szCs w:val="24"/>
        </w:rPr>
        <w:t>本研究以加利福尼亚州住房价格数据集（California Housing Dataset）为基础，选取随机森林回归与支持向量机回归（SVR）两种代表性机器学习算法，对加州各街区的房价中位数进行预测建模。具体研究目标包括：</w:t>
      </w:r>
    </w:p>
    <w:p w14:paraId="78F59E6E">
      <w:pPr>
        <w:spacing w:before="0" w:after="0" w:line="400" w:lineRule="auto"/>
        <w:ind w:firstLine="480"/>
        <w:jc w:val="both"/>
      </w:pPr>
      <w:r>
        <w:rPr>
          <w:rFonts w:ascii="宋体" w:hAnsi="宋体" w:eastAsia="宋体" w:cs="宋体"/>
          <w:sz w:val="24"/>
          <w:szCs w:val="24"/>
        </w:rPr>
        <w:t>（1）对数据集进行描述性统计分析，揭示各经济特征变量的分布规律及相互关系；</w:t>
      </w:r>
    </w:p>
    <w:p w14:paraId="0E46C210">
      <w:pPr>
        <w:spacing w:before="0" w:after="0" w:line="400" w:lineRule="auto"/>
        <w:ind w:firstLine="480"/>
        <w:jc w:val="both"/>
      </w:pPr>
      <w:r>
        <w:rPr>
          <w:rFonts w:ascii="宋体" w:hAnsi="宋体" w:eastAsia="宋体" w:cs="宋体"/>
          <w:sz w:val="24"/>
          <w:szCs w:val="24"/>
        </w:rPr>
        <w:t>（2）构建随机森林与SVR预测模型，评估其在房价预测中的性能表现；</w:t>
      </w:r>
    </w:p>
    <w:p w14:paraId="6572696D">
      <w:pPr>
        <w:spacing w:before="0" w:after="0" w:line="400" w:lineRule="auto"/>
        <w:ind w:firstLine="480"/>
        <w:jc w:val="both"/>
      </w:pPr>
      <w:r>
        <w:rPr>
          <w:rFonts w:ascii="宋体" w:hAnsi="宋体" w:eastAsia="宋体" w:cs="宋体"/>
          <w:sz w:val="24"/>
          <w:szCs w:val="24"/>
        </w:rPr>
        <w:t>（3）运用K折交叉验证与网格搜索进行超参数调优，提升模型的泛化能力；</w:t>
      </w:r>
    </w:p>
    <w:p w14:paraId="77900CE9">
      <w:pPr>
        <w:spacing w:before="0" w:after="0" w:line="400" w:lineRule="auto"/>
        <w:ind w:firstLine="480"/>
        <w:jc w:val="both"/>
      </w:pPr>
      <w:r>
        <w:rPr>
          <w:rFonts w:ascii="宋体" w:hAnsi="宋体" w:eastAsia="宋体" w:cs="宋体"/>
          <w:sz w:val="24"/>
          <w:szCs w:val="24"/>
        </w:rPr>
        <w:t>（4）从经济学视角分析影响加州房价的关键因素，为住房市场研究提供参考。</w:t>
      </w:r>
    </w:p>
    <w:p w14:paraId="5CA5379A">
      <w:pPr>
        <w:pStyle w:val="3"/>
        <w:spacing w:before="200" w:after="100" w:line="360" w:lineRule="auto"/>
        <w:jc w:val="left"/>
      </w:pPr>
      <w:bookmarkStart w:id="3" w:name="_Toc1517"/>
      <w:r>
        <w:rPr>
          <w:rFonts w:ascii="宋体" w:hAnsi="宋体" w:eastAsia="宋体" w:cs="宋体"/>
          <w:b/>
          <w:bCs/>
          <w:sz w:val="28"/>
          <w:szCs w:val="28"/>
        </w:rPr>
        <w:t>1.3 数据来源</w:t>
      </w:r>
      <w:bookmarkEnd w:id="3"/>
    </w:p>
    <w:p w14:paraId="62EC4119">
      <w:pPr>
        <w:spacing w:before="0" w:after="0" w:line="400" w:lineRule="auto"/>
        <w:ind w:firstLine="480"/>
        <w:jc w:val="both"/>
      </w:pPr>
      <w:r>
        <w:rPr>
          <w:rFonts w:ascii="宋体" w:hAnsi="宋体" w:eastAsia="宋体" w:cs="宋体"/>
          <w:sz w:val="24"/>
          <w:szCs w:val="24"/>
        </w:rPr>
        <w:t>本研究采用的California Housing数据集最初由Pace和Barry（1997）整理，源自1990年美国人口普查数据，现收录于StatLib数据库并集成于Python的scikit-learn库中。该数据集包含20,640个样本（各代表一个街区），8个数值型特征变量和1个目标变量（房价中位数，单位：万美元）。</w:t>
      </w:r>
    </w:p>
    <w:p w14:paraId="6FF67A77">
      <w:pPr>
        <w:pStyle w:val="2"/>
        <w:spacing w:before="240" w:after="120" w:line="360" w:lineRule="auto"/>
        <w:jc w:val="left"/>
      </w:pPr>
      <w:bookmarkStart w:id="4" w:name="_Toc14505"/>
      <w:r>
        <w:rPr>
          <w:rFonts w:ascii="宋体" w:hAnsi="宋体" w:eastAsia="宋体" w:cs="宋体"/>
          <w:b/>
          <w:bCs/>
          <w:sz w:val="32"/>
          <w:szCs w:val="32"/>
        </w:rPr>
        <w:t>二、描述性统计分析</w:t>
      </w:r>
      <w:bookmarkEnd w:id="4"/>
    </w:p>
    <w:p w14:paraId="3A37BEC9">
      <w:pPr>
        <w:pStyle w:val="3"/>
        <w:spacing w:before="200" w:after="100" w:line="360" w:lineRule="auto"/>
        <w:jc w:val="left"/>
      </w:pPr>
      <w:bookmarkStart w:id="5" w:name="_Toc25880"/>
      <w:r>
        <w:rPr>
          <w:rFonts w:ascii="宋体" w:hAnsi="宋体" w:eastAsia="宋体" w:cs="宋体"/>
          <w:b/>
          <w:bCs/>
          <w:sz w:val="28"/>
          <w:szCs w:val="28"/>
        </w:rPr>
        <w:t>2.1 变量概况</w:t>
      </w:r>
      <w:bookmarkEnd w:id="5"/>
    </w:p>
    <w:p w14:paraId="70F6F3E1">
      <w:pPr>
        <w:spacing w:before="0" w:after="0" w:line="400" w:lineRule="auto"/>
        <w:ind w:firstLine="480"/>
        <w:jc w:val="both"/>
      </w:pPr>
      <w:r>
        <w:rPr>
          <w:rFonts w:ascii="宋体" w:hAnsi="宋体" w:eastAsia="宋体" w:cs="宋体"/>
          <w:sz w:val="24"/>
          <w:szCs w:val="24"/>
        </w:rPr>
        <w:t>数据集共包含9个变量，其中8个为自变量（特征），1个为因变量（房价中位数）。各变量含义如下：家庭收入中位数（MedInc）、房屋年龄中位数（HouseAge）、平均房间数（AveRooms）、平均卧室数（AveBedrms）、街区人口（Population）、平均入住人数（AveOccup）、纬度（Latitude）和经度（Longitude）。</w:t>
      </w:r>
    </w:p>
    <w:p w14:paraId="26CBBD65">
      <w:pPr>
        <w:pStyle w:val="3"/>
        <w:spacing w:before="200" w:after="100" w:line="360" w:lineRule="auto"/>
        <w:jc w:val="left"/>
      </w:pPr>
      <w:bookmarkStart w:id="6" w:name="_Toc16017"/>
      <w:r>
        <w:rPr>
          <w:rFonts w:ascii="宋体" w:hAnsi="宋体" w:eastAsia="宋体" w:cs="宋体"/>
          <w:b/>
          <w:bCs/>
          <w:sz w:val="28"/>
          <w:szCs w:val="28"/>
        </w:rPr>
        <w:t>2.2 描述性统计结果</w:t>
      </w:r>
      <w:bookmarkEnd w:id="6"/>
    </w:p>
    <w:p w14:paraId="255EEA11">
      <w:pPr>
        <w:spacing w:before="0" w:after="0" w:line="400" w:lineRule="auto"/>
        <w:ind w:firstLine="480"/>
        <w:jc w:val="both"/>
      </w:pPr>
      <w:r>
        <w:rPr>
          <w:rFonts w:ascii="宋体" w:hAnsi="宋体" w:eastAsia="宋体" w:cs="宋体"/>
          <w:sz w:val="24"/>
          <w:szCs w:val="24"/>
        </w:rPr>
        <w:t>表1展示了各变量的基本统计特征。可以看出：家庭收入中位数的均值为3.871（单位：万美元），房价中位数的均值为2.069万美元。街区人口和平均入住人数的标准差较大，表明不同街区之间存在显著的人口密度差异。</w:t>
      </w:r>
    </w:p>
    <w:p w14:paraId="3CD9A349">
      <w:pPr>
        <w:spacing w:before="0" w:after="100" w:line="360" w:lineRule="auto"/>
        <w:jc w:val="both"/>
      </w:pPr>
    </w:p>
    <w:p w14:paraId="52A54723">
      <w:pPr>
        <w:spacing w:before="0" w:after="100" w:line="360" w:lineRule="auto"/>
        <w:jc w:val="center"/>
      </w:pPr>
      <w:r>
        <w:rPr>
          <w:rFonts w:ascii="宋体" w:hAnsi="宋体" w:eastAsia="宋体" w:cs="宋体"/>
          <w:b/>
          <w:bCs/>
          <w:sz w:val="20"/>
          <w:szCs w:val="20"/>
        </w:rPr>
        <w:t>表1  各变量描述性统计</w:t>
      </w:r>
    </w:p>
    <w:tbl>
      <w:tblPr>
        <w:tblStyle w:val="15"/>
        <w:tblW w:w="76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 w:type="dxa"/>
          <w:bottom w:w="0" w:type="dxa"/>
          <w:right w:w="10" w:type="dxa"/>
        </w:tblCellMar>
      </w:tblPr>
      <w:tblGrid>
        <w:gridCol w:w="1700"/>
        <w:gridCol w:w="900"/>
        <w:gridCol w:w="1000"/>
        <w:gridCol w:w="1000"/>
        <w:gridCol w:w="1000"/>
        <w:gridCol w:w="1000"/>
        <w:gridCol w:w="1000"/>
      </w:tblGrid>
      <w:tr w14:paraId="45B559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700" w:type="dxa"/>
            <w:tcBorders>
              <w:top w:val="single" w:color="000000" w:sz="12" w:space="0"/>
              <w:left w:val="nil"/>
              <w:bottom w:val="single" w:color="000000" w:sz="4" w:space="0"/>
              <w:right w:val="nil"/>
            </w:tcBorders>
            <w:tcMar>
              <w:top w:w="80" w:type="dxa"/>
              <w:left w:w="120" w:type="dxa"/>
              <w:bottom w:w="80" w:type="dxa"/>
              <w:right w:w="120" w:type="dxa"/>
            </w:tcMar>
            <w:vAlign w:val="center"/>
          </w:tcPr>
          <w:p w14:paraId="109368CF">
            <w:pPr>
              <w:jc w:val="center"/>
            </w:pPr>
            <w:r>
              <w:rPr>
                <w:rFonts w:ascii="宋体" w:hAnsi="宋体" w:eastAsia="宋体" w:cs="宋体"/>
                <w:b/>
                <w:bCs/>
                <w:sz w:val="20"/>
                <w:szCs w:val="20"/>
              </w:rPr>
              <w:t>变量</w:t>
            </w:r>
          </w:p>
        </w:tc>
        <w:tc>
          <w:tcPr>
            <w:tcW w:w="900" w:type="dxa"/>
            <w:tcBorders>
              <w:top w:val="single" w:color="000000" w:sz="12" w:space="0"/>
              <w:left w:val="nil"/>
              <w:bottom w:val="single" w:color="000000" w:sz="4" w:space="0"/>
              <w:right w:val="nil"/>
            </w:tcBorders>
            <w:tcMar>
              <w:top w:w="80" w:type="dxa"/>
              <w:left w:w="120" w:type="dxa"/>
              <w:bottom w:w="80" w:type="dxa"/>
              <w:right w:w="120" w:type="dxa"/>
            </w:tcMar>
            <w:vAlign w:val="center"/>
          </w:tcPr>
          <w:p w14:paraId="329EA89A">
            <w:pPr>
              <w:jc w:val="center"/>
            </w:pPr>
            <w:r>
              <w:rPr>
                <w:rFonts w:ascii="宋体" w:hAnsi="宋体" w:eastAsia="宋体" w:cs="宋体"/>
                <w:b/>
                <w:bCs/>
                <w:sz w:val="20"/>
                <w:szCs w:val="20"/>
              </w:rPr>
              <w:t>样本数</w:t>
            </w:r>
          </w:p>
        </w:tc>
        <w:tc>
          <w:tcPr>
            <w:tcW w:w="1000" w:type="dxa"/>
            <w:tcBorders>
              <w:top w:val="single" w:color="000000" w:sz="12" w:space="0"/>
              <w:left w:val="nil"/>
              <w:bottom w:val="single" w:color="000000" w:sz="4" w:space="0"/>
              <w:right w:val="nil"/>
            </w:tcBorders>
            <w:tcMar>
              <w:top w:w="80" w:type="dxa"/>
              <w:left w:w="120" w:type="dxa"/>
              <w:bottom w:w="80" w:type="dxa"/>
              <w:right w:w="120" w:type="dxa"/>
            </w:tcMar>
            <w:vAlign w:val="center"/>
          </w:tcPr>
          <w:p w14:paraId="52D0E696">
            <w:pPr>
              <w:jc w:val="center"/>
            </w:pPr>
            <w:r>
              <w:rPr>
                <w:rFonts w:ascii="宋体" w:hAnsi="宋体" w:eastAsia="宋体" w:cs="宋体"/>
                <w:b/>
                <w:bCs/>
                <w:sz w:val="20"/>
                <w:szCs w:val="20"/>
              </w:rPr>
              <w:t>均值</w:t>
            </w:r>
          </w:p>
        </w:tc>
        <w:tc>
          <w:tcPr>
            <w:tcW w:w="1000" w:type="dxa"/>
            <w:tcBorders>
              <w:top w:val="single" w:color="000000" w:sz="12" w:space="0"/>
              <w:left w:val="nil"/>
              <w:bottom w:val="single" w:color="000000" w:sz="4" w:space="0"/>
              <w:right w:val="nil"/>
            </w:tcBorders>
            <w:tcMar>
              <w:top w:w="80" w:type="dxa"/>
              <w:left w:w="120" w:type="dxa"/>
              <w:bottom w:w="80" w:type="dxa"/>
              <w:right w:w="120" w:type="dxa"/>
            </w:tcMar>
            <w:vAlign w:val="center"/>
          </w:tcPr>
          <w:p w14:paraId="5947AF1B">
            <w:pPr>
              <w:jc w:val="center"/>
            </w:pPr>
            <w:r>
              <w:rPr>
                <w:rFonts w:ascii="宋体" w:hAnsi="宋体" w:eastAsia="宋体" w:cs="宋体"/>
                <w:b/>
                <w:bCs/>
                <w:sz w:val="20"/>
                <w:szCs w:val="20"/>
              </w:rPr>
              <w:t>标准差</w:t>
            </w:r>
          </w:p>
        </w:tc>
        <w:tc>
          <w:tcPr>
            <w:tcW w:w="1000" w:type="dxa"/>
            <w:tcBorders>
              <w:top w:val="single" w:color="000000" w:sz="12" w:space="0"/>
              <w:left w:val="nil"/>
              <w:bottom w:val="single" w:color="000000" w:sz="4" w:space="0"/>
              <w:right w:val="nil"/>
            </w:tcBorders>
            <w:tcMar>
              <w:top w:w="80" w:type="dxa"/>
              <w:left w:w="120" w:type="dxa"/>
              <w:bottom w:w="80" w:type="dxa"/>
              <w:right w:w="120" w:type="dxa"/>
            </w:tcMar>
            <w:vAlign w:val="center"/>
          </w:tcPr>
          <w:p w14:paraId="268FF93A">
            <w:pPr>
              <w:jc w:val="center"/>
            </w:pPr>
            <w:r>
              <w:rPr>
                <w:rFonts w:ascii="宋体" w:hAnsi="宋体" w:eastAsia="宋体" w:cs="宋体"/>
                <w:b/>
                <w:bCs/>
                <w:sz w:val="20"/>
                <w:szCs w:val="20"/>
              </w:rPr>
              <w:t>最小值</w:t>
            </w:r>
          </w:p>
        </w:tc>
        <w:tc>
          <w:tcPr>
            <w:tcW w:w="1000" w:type="dxa"/>
            <w:tcBorders>
              <w:top w:val="single" w:color="000000" w:sz="12" w:space="0"/>
              <w:left w:val="nil"/>
              <w:bottom w:val="single" w:color="000000" w:sz="4" w:space="0"/>
              <w:right w:val="nil"/>
            </w:tcBorders>
            <w:tcMar>
              <w:top w:w="80" w:type="dxa"/>
              <w:left w:w="120" w:type="dxa"/>
              <w:bottom w:w="80" w:type="dxa"/>
              <w:right w:w="120" w:type="dxa"/>
            </w:tcMar>
            <w:vAlign w:val="center"/>
          </w:tcPr>
          <w:p w14:paraId="299718ED">
            <w:pPr>
              <w:jc w:val="center"/>
            </w:pPr>
            <w:r>
              <w:rPr>
                <w:rFonts w:ascii="宋体" w:hAnsi="宋体" w:eastAsia="宋体" w:cs="宋体"/>
                <w:b/>
                <w:bCs/>
                <w:sz w:val="20"/>
                <w:szCs w:val="20"/>
              </w:rPr>
              <w:t>中位数</w:t>
            </w:r>
          </w:p>
        </w:tc>
        <w:tc>
          <w:tcPr>
            <w:tcW w:w="1000" w:type="dxa"/>
            <w:tcBorders>
              <w:top w:val="single" w:color="000000" w:sz="12" w:space="0"/>
              <w:left w:val="nil"/>
              <w:bottom w:val="single" w:color="000000" w:sz="4" w:space="0"/>
              <w:right w:val="nil"/>
            </w:tcBorders>
            <w:tcMar>
              <w:top w:w="80" w:type="dxa"/>
              <w:left w:w="120" w:type="dxa"/>
              <w:bottom w:w="80" w:type="dxa"/>
              <w:right w:w="120" w:type="dxa"/>
            </w:tcMar>
            <w:vAlign w:val="center"/>
          </w:tcPr>
          <w:p w14:paraId="5A295B3A">
            <w:pPr>
              <w:jc w:val="center"/>
            </w:pPr>
            <w:r>
              <w:rPr>
                <w:rFonts w:ascii="宋体" w:hAnsi="宋体" w:eastAsia="宋体" w:cs="宋体"/>
                <w:b/>
                <w:bCs/>
                <w:sz w:val="20"/>
                <w:szCs w:val="20"/>
              </w:rPr>
              <w:t>最大值</w:t>
            </w:r>
          </w:p>
        </w:tc>
      </w:tr>
      <w:tr w14:paraId="2BE399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700" w:type="dxa"/>
            <w:tcBorders>
              <w:top w:val="nil"/>
              <w:left w:val="nil"/>
              <w:bottom w:val="nil"/>
              <w:right w:val="nil"/>
            </w:tcBorders>
            <w:tcMar>
              <w:top w:w="80" w:type="dxa"/>
              <w:left w:w="120" w:type="dxa"/>
              <w:bottom w:w="80" w:type="dxa"/>
              <w:right w:w="120" w:type="dxa"/>
            </w:tcMar>
            <w:vAlign w:val="center"/>
          </w:tcPr>
          <w:p w14:paraId="73C96D98">
            <w:pPr>
              <w:jc w:val="center"/>
            </w:pPr>
            <w:r>
              <w:rPr>
                <w:rFonts w:ascii="宋体" w:hAnsi="宋体" w:eastAsia="宋体" w:cs="宋体"/>
                <w:b w:val="0"/>
                <w:bCs w:val="0"/>
                <w:sz w:val="20"/>
                <w:szCs w:val="20"/>
              </w:rPr>
              <w:t>家庭收入中位数</w:t>
            </w:r>
          </w:p>
        </w:tc>
        <w:tc>
          <w:tcPr>
            <w:tcW w:w="900" w:type="dxa"/>
            <w:tcBorders>
              <w:top w:val="nil"/>
              <w:left w:val="nil"/>
              <w:bottom w:val="nil"/>
              <w:right w:val="nil"/>
            </w:tcBorders>
            <w:tcMar>
              <w:top w:w="80" w:type="dxa"/>
              <w:left w:w="120" w:type="dxa"/>
              <w:bottom w:w="80" w:type="dxa"/>
              <w:right w:w="120" w:type="dxa"/>
            </w:tcMar>
            <w:vAlign w:val="center"/>
          </w:tcPr>
          <w:p w14:paraId="46DC9F11">
            <w:pPr>
              <w:jc w:val="center"/>
            </w:pPr>
            <w:r>
              <w:rPr>
                <w:rFonts w:ascii="宋体" w:hAnsi="宋体" w:eastAsia="宋体" w:cs="宋体"/>
                <w:b w:val="0"/>
                <w:bCs w:val="0"/>
                <w:sz w:val="20"/>
                <w:szCs w:val="20"/>
              </w:rPr>
              <w:t>20640</w:t>
            </w:r>
          </w:p>
        </w:tc>
        <w:tc>
          <w:tcPr>
            <w:tcW w:w="1000" w:type="dxa"/>
            <w:tcBorders>
              <w:top w:val="nil"/>
              <w:left w:val="nil"/>
              <w:bottom w:val="nil"/>
              <w:right w:val="nil"/>
            </w:tcBorders>
            <w:tcMar>
              <w:top w:w="80" w:type="dxa"/>
              <w:left w:w="120" w:type="dxa"/>
              <w:bottom w:w="80" w:type="dxa"/>
              <w:right w:w="120" w:type="dxa"/>
            </w:tcMar>
            <w:vAlign w:val="center"/>
          </w:tcPr>
          <w:p w14:paraId="6FBD92F7">
            <w:pPr>
              <w:jc w:val="center"/>
            </w:pPr>
            <w:r>
              <w:rPr>
                <w:rFonts w:ascii="宋体" w:hAnsi="宋体" w:eastAsia="宋体" w:cs="宋体"/>
                <w:b w:val="0"/>
                <w:bCs w:val="0"/>
                <w:sz w:val="20"/>
                <w:szCs w:val="20"/>
              </w:rPr>
              <w:t>3.871</w:t>
            </w:r>
          </w:p>
        </w:tc>
        <w:tc>
          <w:tcPr>
            <w:tcW w:w="1000" w:type="dxa"/>
            <w:tcBorders>
              <w:top w:val="nil"/>
              <w:left w:val="nil"/>
              <w:bottom w:val="nil"/>
              <w:right w:val="nil"/>
            </w:tcBorders>
            <w:tcMar>
              <w:top w:w="80" w:type="dxa"/>
              <w:left w:w="120" w:type="dxa"/>
              <w:bottom w:w="80" w:type="dxa"/>
              <w:right w:w="120" w:type="dxa"/>
            </w:tcMar>
            <w:vAlign w:val="center"/>
          </w:tcPr>
          <w:p w14:paraId="7B9A464C">
            <w:pPr>
              <w:jc w:val="center"/>
            </w:pPr>
            <w:r>
              <w:rPr>
                <w:rFonts w:ascii="宋体" w:hAnsi="宋体" w:eastAsia="宋体" w:cs="宋体"/>
                <w:b w:val="0"/>
                <w:bCs w:val="0"/>
                <w:sz w:val="20"/>
                <w:szCs w:val="20"/>
              </w:rPr>
              <w:t>1.900</w:t>
            </w:r>
          </w:p>
        </w:tc>
        <w:tc>
          <w:tcPr>
            <w:tcW w:w="1000" w:type="dxa"/>
            <w:tcBorders>
              <w:top w:val="nil"/>
              <w:left w:val="nil"/>
              <w:bottom w:val="nil"/>
              <w:right w:val="nil"/>
            </w:tcBorders>
            <w:tcMar>
              <w:top w:w="80" w:type="dxa"/>
              <w:left w:w="120" w:type="dxa"/>
              <w:bottom w:w="80" w:type="dxa"/>
              <w:right w:w="120" w:type="dxa"/>
            </w:tcMar>
            <w:vAlign w:val="center"/>
          </w:tcPr>
          <w:p w14:paraId="47317DF2">
            <w:pPr>
              <w:jc w:val="center"/>
            </w:pPr>
            <w:r>
              <w:rPr>
                <w:rFonts w:ascii="宋体" w:hAnsi="宋体" w:eastAsia="宋体" w:cs="宋体"/>
                <w:b w:val="0"/>
                <w:bCs w:val="0"/>
                <w:sz w:val="20"/>
                <w:szCs w:val="20"/>
              </w:rPr>
              <w:t>0.500</w:t>
            </w:r>
          </w:p>
        </w:tc>
        <w:tc>
          <w:tcPr>
            <w:tcW w:w="1000" w:type="dxa"/>
            <w:tcBorders>
              <w:top w:val="nil"/>
              <w:left w:val="nil"/>
              <w:bottom w:val="nil"/>
              <w:right w:val="nil"/>
            </w:tcBorders>
            <w:tcMar>
              <w:top w:w="80" w:type="dxa"/>
              <w:left w:w="120" w:type="dxa"/>
              <w:bottom w:w="80" w:type="dxa"/>
              <w:right w:w="120" w:type="dxa"/>
            </w:tcMar>
            <w:vAlign w:val="center"/>
          </w:tcPr>
          <w:p w14:paraId="4B04A6AD">
            <w:pPr>
              <w:jc w:val="center"/>
            </w:pPr>
            <w:r>
              <w:rPr>
                <w:rFonts w:ascii="宋体" w:hAnsi="宋体" w:eastAsia="宋体" w:cs="宋体"/>
                <w:b w:val="0"/>
                <w:bCs w:val="0"/>
                <w:sz w:val="20"/>
                <w:szCs w:val="20"/>
              </w:rPr>
              <w:t>3.535</w:t>
            </w:r>
          </w:p>
        </w:tc>
        <w:tc>
          <w:tcPr>
            <w:tcW w:w="1000" w:type="dxa"/>
            <w:tcBorders>
              <w:top w:val="nil"/>
              <w:left w:val="nil"/>
              <w:bottom w:val="nil"/>
              <w:right w:val="nil"/>
            </w:tcBorders>
            <w:tcMar>
              <w:top w:w="80" w:type="dxa"/>
              <w:left w:w="120" w:type="dxa"/>
              <w:bottom w:w="80" w:type="dxa"/>
              <w:right w:w="120" w:type="dxa"/>
            </w:tcMar>
            <w:vAlign w:val="center"/>
          </w:tcPr>
          <w:p w14:paraId="352DD659">
            <w:pPr>
              <w:jc w:val="center"/>
            </w:pPr>
            <w:r>
              <w:rPr>
                <w:rFonts w:ascii="宋体" w:hAnsi="宋体" w:eastAsia="宋体" w:cs="宋体"/>
                <w:b w:val="0"/>
                <w:bCs w:val="0"/>
                <w:sz w:val="20"/>
                <w:szCs w:val="20"/>
              </w:rPr>
              <w:t>15.000</w:t>
            </w:r>
          </w:p>
        </w:tc>
      </w:tr>
      <w:tr w14:paraId="5F8FEC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700" w:type="dxa"/>
            <w:tcBorders>
              <w:top w:val="nil"/>
              <w:left w:val="nil"/>
              <w:bottom w:val="nil"/>
              <w:right w:val="nil"/>
            </w:tcBorders>
            <w:tcMar>
              <w:top w:w="80" w:type="dxa"/>
              <w:left w:w="120" w:type="dxa"/>
              <w:bottom w:w="80" w:type="dxa"/>
              <w:right w:w="120" w:type="dxa"/>
            </w:tcMar>
            <w:vAlign w:val="center"/>
          </w:tcPr>
          <w:p w14:paraId="4BFB3EE3">
            <w:pPr>
              <w:jc w:val="center"/>
            </w:pPr>
            <w:r>
              <w:rPr>
                <w:rFonts w:ascii="宋体" w:hAnsi="宋体" w:eastAsia="宋体" w:cs="宋体"/>
                <w:b w:val="0"/>
                <w:bCs w:val="0"/>
                <w:sz w:val="20"/>
                <w:szCs w:val="20"/>
              </w:rPr>
              <w:t>房屋年龄</w:t>
            </w:r>
          </w:p>
        </w:tc>
        <w:tc>
          <w:tcPr>
            <w:tcW w:w="900" w:type="dxa"/>
            <w:tcBorders>
              <w:top w:val="nil"/>
              <w:left w:val="nil"/>
              <w:bottom w:val="nil"/>
              <w:right w:val="nil"/>
            </w:tcBorders>
            <w:tcMar>
              <w:top w:w="80" w:type="dxa"/>
              <w:left w:w="120" w:type="dxa"/>
              <w:bottom w:w="80" w:type="dxa"/>
              <w:right w:w="120" w:type="dxa"/>
            </w:tcMar>
            <w:vAlign w:val="center"/>
          </w:tcPr>
          <w:p w14:paraId="38EEA830">
            <w:pPr>
              <w:jc w:val="center"/>
            </w:pPr>
            <w:r>
              <w:rPr>
                <w:rFonts w:ascii="宋体" w:hAnsi="宋体" w:eastAsia="宋体" w:cs="宋体"/>
                <w:b w:val="0"/>
                <w:bCs w:val="0"/>
                <w:sz w:val="20"/>
                <w:szCs w:val="20"/>
              </w:rPr>
              <w:t>20640</w:t>
            </w:r>
          </w:p>
        </w:tc>
        <w:tc>
          <w:tcPr>
            <w:tcW w:w="1000" w:type="dxa"/>
            <w:tcBorders>
              <w:top w:val="nil"/>
              <w:left w:val="nil"/>
              <w:bottom w:val="nil"/>
              <w:right w:val="nil"/>
            </w:tcBorders>
            <w:tcMar>
              <w:top w:w="80" w:type="dxa"/>
              <w:left w:w="120" w:type="dxa"/>
              <w:bottom w:w="80" w:type="dxa"/>
              <w:right w:w="120" w:type="dxa"/>
            </w:tcMar>
            <w:vAlign w:val="center"/>
          </w:tcPr>
          <w:p w14:paraId="2C708F56">
            <w:pPr>
              <w:jc w:val="center"/>
            </w:pPr>
            <w:r>
              <w:rPr>
                <w:rFonts w:ascii="宋体" w:hAnsi="宋体" w:eastAsia="宋体" w:cs="宋体"/>
                <w:b w:val="0"/>
                <w:bCs w:val="0"/>
                <w:sz w:val="20"/>
                <w:szCs w:val="20"/>
              </w:rPr>
              <w:t>28.639</w:t>
            </w:r>
          </w:p>
        </w:tc>
        <w:tc>
          <w:tcPr>
            <w:tcW w:w="1000" w:type="dxa"/>
            <w:tcBorders>
              <w:top w:val="nil"/>
              <w:left w:val="nil"/>
              <w:bottom w:val="nil"/>
              <w:right w:val="nil"/>
            </w:tcBorders>
            <w:tcMar>
              <w:top w:w="80" w:type="dxa"/>
              <w:left w:w="120" w:type="dxa"/>
              <w:bottom w:w="80" w:type="dxa"/>
              <w:right w:w="120" w:type="dxa"/>
            </w:tcMar>
            <w:vAlign w:val="center"/>
          </w:tcPr>
          <w:p w14:paraId="26D0078C">
            <w:pPr>
              <w:jc w:val="center"/>
            </w:pPr>
            <w:r>
              <w:rPr>
                <w:rFonts w:ascii="宋体" w:hAnsi="宋体" w:eastAsia="宋体" w:cs="宋体"/>
                <w:b w:val="0"/>
                <w:bCs w:val="0"/>
                <w:sz w:val="20"/>
                <w:szCs w:val="20"/>
              </w:rPr>
              <w:t>12.586</w:t>
            </w:r>
          </w:p>
        </w:tc>
        <w:tc>
          <w:tcPr>
            <w:tcW w:w="1000" w:type="dxa"/>
            <w:tcBorders>
              <w:top w:val="nil"/>
              <w:left w:val="nil"/>
              <w:bottom w:val="nil"/>
              <w:right w:val="nil"/>
            </w:tcBorders>
            <w:tcMar>
              <w:top w:w="80" w:type="dxa"/>
              <w:left w:w="120" w:type="dxa"/>
              <w:bottom w:w="80" w:type="dxa"/>
              <w:right w:w="120" w:type="dxa"/>
            </w:tcMar>
            <w:vAlign w:val="center"/>
          </w:tcPr>
          <w:p w14:paraId="7158319D">
            <w:pPr>
              <w:jc w:val="center"/>
            </w:pPr>
            <w:r>
              <w:rPr>
                <w:rFonts w:ascii="宋体" w:hAnsi="宋体" w:eastAsia="宋体" w:cs="宋体"/>
                <w:b w:val="0"/>
                <w:bCs w:val="0"/>
                <w:sz w:val="20"/>
                <w:szCs w:val="20"/>
              </w:rPr>
              <w:t>1.000</w:t>
            </w:r>
          </w:p>
        </w:tc>
        <w:tc>
          <w:tcPr>
            <w:tcW w:w="1000" w:type="dxa"/>
            <w:tcBorders>
              <w:top w:val="nil"/>
              <w:left w:val="nil"/>
              <w:bottom w:val="nil"/>
              <w:right w:val="nil"/>
            </w:tcBorders>
            <w:tcMar>
              <w:top w:w="80" w:type="dxa"/>
              <w:left w:w="120" w:type="dxa"/>
              <w:bottom w:w="80" w:type="dxa"/>
              <w:right w:w="120" w:type="dxa"/>
            </w:tcMar>
            <w:vAlign w:val="center"/>
          </w:tcPr>
          <w:p w14:paraId="7B19F9D0">
            <w:pPr>
              <w:jc w:val="center"/>
            </w:pPr>
            <w:r>
              <w:rPr>
                <w:rFonts w:ascii="宋体" w:hAnsi="宋体" w:eastAsia="宋体" w:cs="宋体"/>
                <w:b w:val="0"/>
                <w:bCs w:val="0"/>
                <w:sz w:val="20"/>
                <w:szCs w:val="20"/>
              </w:rPr>
              <w:t>29.000</w:t>
            </w:r>
          </w:p>
        </w:tc>
        <w:tc>
          <w:tcPr>
            <w:tcW w:w="1000" w:type="dxa"/>
            <w:tcBorders>
              <w:top w:val="nil"/>
              <w:left w:val="nil"/>
              <w:bottom w:val="nil"/>
              <w:right w:val="nil"/>
            </w:tcBorders>
            <w:tcMar>
              <w:top w:w="80" w:type="dxa"/>
              <w:left w:w="120" w:type="dxa"/>
              <w:bottom w:w="80" w:type="dxa"/>
              <w:right w:w="120" w:type="dxa"/>
            </w:tcMar>
            <w:vAlign w:val="center"/>
          </w:tcPr>
          <w:p w14:paraId="626BD92D">
            <w:pPr>
              <w:jc w:val="center"/>
            </w:pPr>
            <w:r>
              <w:rPr>
                <w:rFonts w:ascii="宋体" w:hAnsi="宋体" w:eastAsia="宋体" w:cs="宋体"/>
                <w:b w:val="0"/>
                <w:bCs w:val="0"/>
                <w:sz w:val="20"/>
                <w:szCs w:val="20"/>
              </w:rPr>
              <w:t>52.000</w:t>
            </w:r>
          </w:p>
        </w:tc>
      </w:tr>
      <w:tr w14:paraId="5B4A04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700" w:type="dxa"/>
            <w:tcBorders>
              <w:top w:val="nil"/>
              <w:left w:val="nil"/>
              <w:bottom w:val="nil"/>
              <w:right w:val="nil"/>
            </w:tcBorders>
            <w:tcMar>
              <w:top w:w="80" w:type="dxa"/>
              <w:left w:w="120" w:type="dxa"/>
              <w:bottom w:w="80" w:type="dxa"/>
              <w:right w:w="120" w:type="dxa"/>
            </w:tcMar>
            <w:vAlign w:val="center"/>
          </w:tcPr>
          <w:p w14:paraId="59BFB36B">
            <w:pPr>
              <w:jc w:val="center"/>
            </w:pPr>
            <w:r>
              <w:rPr>
                <w:rFonts w:ascii="宋体" w:hAnsi="宋体" w:eastAsia="宋体" w:cs="宋体"/>
                <w:b w:val="0"/>
                <w:bCs w:val="0"/>
                <w:sz w:val="20"/>
                <w:szCs w:val="20"/>
              </w:rPr>
              <w:t>平均房间数</w:t>
            </w:r>
          </w:p>
        </w:tc>
        <w:tc>
          <w:tcPr>
            <w:tcW w:w="900" w:type="dxa"/>
            <w:tcBorders>
              <w:top w:val="nil"/>
              <w:left w:val="nil"/>
              <w:bottom w:val="nil"/>
              <w:right w:val="nil"/>
            </w:tcBorders>
            <w:tcMar>
              <w:top w:w="80" w:type="dxa"/>
              <w:left w:w="120" w:type="dxa"/>
              <w:bottom w:w="80" w:type="dxa"/>
              <w:right w:w="120" w:type="dxa"/>
            </w:tcMar>
            <w:vAlign w:val="center"/>
          </w:tcPr>
          <w:p w14:paraId="08FAA098">
            <w:pPr>
              <w:jc w:val="center"/>
            </w:pPr>
            <w:r>
              <w:rPr>
                <w:rFonts w:ascii="宋体" w:hAnsi="宋体" w:eastAsia="宋体" w:cs="宋体"/>
                <w:b w:val="0"/>
                <w:bCs w:val="0"/>
                <w:sz w:val="20"/>
                <w:szCs w:val="20"/>
              </w:rPr>
              <w:t>20640</w:t>
            </w:r>
          </w:p>
        </w:tc>
        <w:tc>
          <w:tcPr>
            <w:tcW w:w="1000" w:type="dxa"/>
            <w:tcBorders>
              <w:top w:val="nil"/>
              <w:left w:val="nil"/>
              <w:bottom w:val="nil"/>
              <w:right w:val="nil"/>
            </w:tcBorders>
            <w:tcMar>
              <w:top w:w="80" w:type="dxa"/>
              <w:left w:w="120" w:type="dxa"/>
              <w:bottom w:w="80" w:type="dxa"/>
              <w:right w:w="120" w:type="dxa"/>
            </w:tcMar>
            <w:vAlign w:val="center"/>
          </w:tcPr>
          <w:p w14:paraId="2309AA44">
            <w:pPr>
              <w:jc w:val="center"/>
            </w:pPr>
            <w:r>
              <w:rPr>
                <w:rFonts w:ascii="宋体" w:hAnsi="宋体" w:eastAsia="宋体" w:cs="宋体"/>
                <w:b w:val="0"/>
                <w:bCs w:val="0"/>
                <w:sz w:val="20"/>
                <w:szCs w:val="20"/>
              </w:rPr>
              <w:t>5.429</w:t>
            </w:r>
          </w:p>
        </w:tc>
        <w:tc>
          <w:tcPr>
            <w:tcW w:w="1000" w:type="dxa"/>
            <w:tcBorders>
              <w:top w:val="nil"/>
              <w:left w:val="nil"/>
              <w:bottom w:val="nil"/>
              <w:right w:val="nil"/>
            </w:tcBorders>
            <w:tcMar>
              <w:top w:w="80" w:type="dxa"/>
              <w:left w:w="120" w:type="dxa"/>
              <w:bottom w:w="80" w:type="dxa"/>
              <w:right w:w="120" w:type="dxa"/>
            </w:tcMar>
            <w:vAlign w:val="center"/>
          </w:tcPr>
          <w:p w14:paraId="6B0001CB">
            <w:pPr>
              <w:jc w:val="center"/>
            </w:pPr>
            <w:r>
              <w:rPr>
                <w:rFonts w:ascii="宋体" w:hAnsi="宋体" w:eastAsia="宋体" w:cs="宋体"/>
                <w:b w:val="0"/>
                <w:bCs w:val="0"/>
                <w:sz w:val="20"/>
                <w:szCs w:val="20"/>
              </w:rPr>
              <w:t>2.474</w:t>
            </w:r>
          </w:p>
        </w:tc>
        <w:tc>
          <w:tcPr>
            <w:tcW w:w="1000" w:type="dxa"/>
            <w:tcBorders>
              <w:top w:val="nil"/>
              <w:left w:val="nil"/>
              <w:bottom w:val="nil"/>
              <w:right w:val="nil"/>
            </w:tcBorders>
            <w:tcMar>
              <w:top w:w="80" w:type="dxa"/>
              <w:left w:w="120" w:type="dxa"/>
              <w:bottom w:w="80" w:type="dxa"/>
              <w:right w:w="120" w:type="dxa"/>
            </w:tcMar>
            <w:vAlign w:val="center"/>
          </w:tcPr>
          <w:p w14:paraId="28F546AE">
            <w:pPr>
              <w:jc w:val="center"/>
            </w:pPr>
            <w:r>
              <w:rPr>
                <w:rFonts w:ascii="宋体" w:hAnsi="宋体" w:eastAsia="宋体" w:cs="宋体"/>
                <w:b w:val="0"/>
                <w:bCs w:val="0"/>
                <w:sz w:val="20"/>
                <w:szCs w:val="20"/>
              </w:rPr>
              <w:t>0.846</w:t>
            </w:r>
          </w:p>
        </w:tc>
        <w:tc>
          <w:tcPr>
            <w:tcW w:w="1000" w:type="dxa"/>
            <w:tcBorders>
              <w:top w:val="nil"/>
              <w:left w:val="nil"/>
              <w:bottom w:val="nil"/>
              <w:right w:val="nil"/>
            </w:tcBorders>
            <w:tcMar>
              <w:top w:w="80" w:type="dxa"/>
              <w:left w:w="120" w:type="dxa"/>
              <w:bottom w:w="80" w:type="dxa"/>
              <w:right w:w="120" w:type="dxa"/>
            </w:tcMar>
            <w:vAlign w:val="center"/>
          </w:tcPr>
          <w:p w14:paraId="66AB6232">
            <w:pPr>
              <w:jc w:val="center"/>
            </w:pPr>
            <w:r>
              <w:rPr>
                <w:rFonts w:ascii="宋体" w:hAnsi="宋体" w:eastAsia="宋体" w:cs="宋体"/>
                <w:b w:val="0"/>
                <w:bCs w:val="0"/>
                <w:sz w:val="20"/>
                <w:szCs w:val="20"/>
              </w:rPr>
              <w:t>5.229</w:t>
            </w:r>
          </w:p>
        </w:tc>
        <w:tc>
          <w:tcPr>
            <w:tcW w:w="1000" w:type="dxa"/>
            <w:tcBorders>
              <w:top w:val="nil"/>
              <w:left w:val="nil"/>
              <w:bottom w:val="nil"/>
              <w:right w:val="nil"/>
            </w:tcBorders>
            <w:tcMar>
              <w:top w:w="80" w:type="dxa"/>
              <w:left w:w="120" w:type="dxa"/>
              <w:bottom w:w="80" w:type="dxa"/>
              <w:right w:w="120" w:type="dxa"/>
            </w:tcMar>
            <w:vAlign w:val="center"/>
          </w:tcPr>
          <w:p w14:paraId="42D9A221">
            <w:pPr>
              <w:jc w:val="center"/>
            </w:pPr>
            <w:r>
              <w:rPr>
                <w:rFonts w:ascii="宋体" w:hAnsi="宋体" w:eastAsia="宋体" w:cs="宋体"/>
                <w:b w:val="0"/>
                <w:bCs w:val="0"/>
                <w:sz w:val="20"/>
                <w:szCs w:val="20"/>
              </w:rPr>
              <w:t>141.909</w:t>
            </w:r>
          </w:p>
        </w:tc>
      </w:tr>
      <w:tr w14:paraId="7B3443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700" w:type="dxa"/>
            <w:tcBorders>
              <w:top w:val="nil"/>
              <w:left w:val="nil"/>
              <w:bottom w:val="nil"/>
              <w:right w:val="nil"/>
            </w:tcBorders>
            <w:tcMar>
              <w:top w:w="80" w:type="dxa"/>
              <w:left w:w="120" w:type="dxa"/>
              <w:bottom w:w="80" w:type="dxa"/>
              <w:right w:w="120" w:type="dxa"/>
            </w:tcMar>
            <w:vAlign w:val="center"/>
          </w:tcPr>
          <w:p w14:paraId="1EC274BF">
            <w:pPr>
              <w:jc w:val="center"/>
            </w:pPr>
            <w:r>
              <w:rPr>
                <w:rFonts w:ascii="宋体" w:hAnsi="宋体" w:eastAsia="宋体" w:cs="宋体"/>
                <w:b w:val="0"/>
                <w:bCs w:val="0"/>
                <w:sz w:val="20"/>
                <w:szCs w:val="20"/>
              </w:rPr>
              <w:t>平均卧室数</w:t>
            </w:r>
          </w:p>
        </w:tc>
        <w:tc>
          <w:tcPr>
            <w:tcW w:w="900" w:type="dxa"/>
            <w:tcBorders>
              <w:top w:val="nil"/>
              <w:left w:val="nil"/>
              <w:bottom w:val="nil"/>
              <w:right w:val="nil"/>
            </w:tcBorders>
            <w:tcMar>
              <w:top w:w="80" w:type="dxa"/>
              <w:left w:w="120" w:type="dxa"/>
              <w:bottom w:w="80" w:type="dxa"/>
              <w:right w:w="120" w:type="dxa"/>
            </w:tcMar>
            <w:vAlign w:val="center"/>
          </w:tcPr>
          <w:p w14:paraId="397E8CF2">
            <w:pPr>
              <w:jc w:val="center"/>
            </w:pPr>
            <w:r>
              <w:rPr>
                <w:rFonts w:ascii="宋体" w:hAnsi="宋体" w:eastAsia="宋体" w:cs="宋体"/>
                <w:b w:val="0"/>
                <w:bCs w:val="0"/>
                <w:sz w:val="20"/>
                <w:szCs w:val="20"/>
              </w:rPr>
              <w:t>20640</w:t>
            </w:r>
          </w:p>
        </w:tc>
        <w:tc>
          <w:tcPr>
            <w:tcW w:w="1000" w:type="dxa"/>
            <w:tcBorders>
              <w:top w:val="nil"/>
              <w:left w:val="nil"/>
              <w:bottom w:val="nil"/>
              <w:right w:val="nil"/>
            </w:tcBorders>
            <w:tcMar>
              <w:top w:w="80" w:type="dxa"/>
              <w:left w:w="120" w:type="dxa"/>
              <w:bottom w:w="80" w:type="dxa"/>
              <w:right w:w="120" w:type="dxa"/>
            </w:tcMar>
            <w:vAlign w:val="center"/>
          </w:tcPr>
          <w:p w14:paraId="72E69DEF">
            <w:pPr>
              <w:jc w:val="center"/>
            </w:pPr>
            <w:r>
              <w:rPr>
                <w:rFonts w:ascii="宋体" w:hAnsi="宋体" w:eastAsia="宋体" w:cs="宋体"/>
                <w:b w:val="0"/>
                <w:bCs w:val="0"/>
                <w:sz w:val="20"/>
                <w:szCs w:val="20"/>
              </w:rPr>
              <w:t>1.097</w:t>
            </w:r>
          </w:p>
        </w:tc>
        <w:tc>
          <w:tcPr>
            <w:tcW w:w="1000" w:type="dxa"/>
            <w:tcBorders>
              <w:top w:val="nil"/>
              <w:left w:val="nil"/>
              <w:bottom w:val="nil"/>
              <w:right w:val="nil"/>
            </w:tcBorders>
            <w:tcMar>
              <w:top w:w="80" w:type="dxa"/>
              <w:left w:w="120" w:type="dxa"/>
              <w:bottom w:w="80" w:type="dxa"/>
              <w:right w:w="120" w:type="dxa"/>
            </w:tcMar>
            <w:vAlign w:val="center"/>
          </w:tcPr>
          <w:p w14:paraId="212A4559">
            <w:pPr>
              <w:jc w:val="center"/>
            </w:pPr>
            <w:r>
              <w:rPr>
                <w:rFonts w:ascii="宋体" w:hAnsi="宋体" w:eastAsia="宋体" w:cs="宋体"/>
                <w:b w:val="0"/>
                <w:bCs w:val="0"/>
                <w:sz w:val="20"/>
                <w:szCs w:val="20"/>
              </w:rPr>
              <w:t>0.474</w:t>
            </w:r>
          </w:p>
        </w:tc>
        <w:tc>
          <w:tcPr>
            <w:tcW w:w="1000" w:type="dxa"/>
            <w:tcBorders>
              <w:top w:val="nil"/>
              <w:left w:val="nil"/>
              <w:bottom w:val="nil"/>
              <w:right w:val="nil"/>
            </w:tcBorders>
            <w:tcMar>
              <w:top w:w="80" w:type="dxa"/>
              <w:left w:w="120" w:type="dxa"/>
              <w:bottom w:w="80" w:type="dxa"/>
              <w:right w:w="120" w:type="dxa"/>
            </w:tcMar>
            <w:vAlign w:val="center"/>
          </w:tcPr>
          <w:p w14:paraId="0046299D">
            <w:pPr>
              <w:jc w:val="center"/>
            </w:pPr>
            <w:r>
              <w:rPr>
                <w:rFonts w:ascii="宋体" w:hAnsi="宋体" w:eastAsia="宋体" w:cs="宋体"/>
                <w:b w:val="0"/>
                <w:bCs w:val="0"/>
                <w:sz w:val="20"/>
                <w:szCs w:val="20"/>
              </w:rPr>
              <w:t>0.333</w:t>
            </w:r>
          </w:p>
        </w:tc>
        <w:tc>
          <w:tcPr>
            <w:tcW w:w="1000" w:type="dxa"/>
            <w:tcBorders>
              <w:top w:val="nil"/>
              <w:left w:val="nil"/>
              <w:bottom w:val="nil"/>
              <w:right w:val="nil"/>
            </w:tcBorders>
            <w:tcMar>
              <w:top w:w="80" w:type="dxa"/>
              <w:left w:w="120" w:type="dxa"/>
              <w:bottom w:w="80" w:type="dxa"/>
              <w:right w:w="120" w:type="dxa"/>
            </w:tcMar>
            <w:vAlign w:val="center"/>
          </w:tcPr>
          <w:p w14:paraId="752AA427">
            <w:pPr>
              <w:jc w:val="center"/>
            </w:pPr>
            <w:r>
              <w:rPr>
                <w:rFonts w:ascii="宋体" w:hAnsi="宋体" w:eastAsia="宋体" w:cs="宋体"/>
                <w:b w:val="0"/>
                <w:bCs w:val="0"/>
                <w:sz w:val="20"/>
                <w:szCs w:val="20"/>
              </w:rPr>
              <w:t>1.049</w:t>
            </w:r>
          </w:p>
        </w:tc>
        <w:tc>
          <w:tcPr>
            <w:tcW w:w="1000" w:type="dxa"/>
            <w:tcBorders>
              <w:top w:val="nil"/>
              <w:left w:val="nil"/>
              <w:bottom w:val="nil"/>
              <w:right w:val="nil"/>
            </w:tcBorders>
            <w:tcMar>
              <w:top w:w="80" w:type="dxa"/>
              <w:left w:w="120" w:type="dxa"/>
              <w:bottom w:w="80" w:type="dxa"/>
              <w:right w:w="120" w:type="dxa"/>
            </w:tcMar>
            <w:vAlign w:val="center"/>
          </w:tcPr>
          <w:p w14:paraId="6383D026">
            <w:pPr>
              <w:jc w:val="center"/>
            </w:pPr>
            <w:r>
              <w:rPr>
                <w:rFonts w:ascii="宋体" w:hAnsi="宋体" w:eastAsia="宋体" w:cs="宋体"/>
                <w:b w:val="0"/>
                <w:bCs w:val="0"/>
                <w:sz w:val="20"/>
                <w:szCs w:val="20"/>
              </w:rPr>
              <w:t>34.067</w:t>
            </w:r>
          </w:p>
        </w:tc>
      </w:tr>
      <w:tr w14:paraId="3C3F28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700" w:type="dxa"/>
            <w:tcBorders>
              <w:top w:val="nil"/>
              <w:left w:val="nil"/>
              <w:bottom w:val="nil"/>
              <w:right w:val="nil"/>
            </w:tcBorders>
            <w:tcMar>
              <w:top w:w="80" w:type="dxa"/>
              <w:left w:w="120" w:type="dxa"/>
              <w:bottom w:w="80" w:type="dxa"/>
              <w:right w:w="120" w:type="dxa"/>
            </w:tcMar>
            <w:vAlign w:val="center"/>
          </w:tcPr>
          <w:p w14:paraId="3AFFDCEC">
            <w:pPr>
              <w:jc w:val="center"/>
            </w:pPr>
            <w:r>
              <w:rPr>
                <w:rFonts w:ascii="宋体" w:hAnsi="宋体" w:eastAsia="宋体" w:cs="宋体"/>
                <w:b w:val="0"/>
                <w:bCs w:val="0"/>
                <w:sz w:val="20"/>
                <w:szCs w:val="20"/>
              </w:rPr>
              <w:t>街区人口</w:t>
            </w:r>
          </w:p>
        </w:tc>
        <w:tc>
          <w:tcPr>
            <w:tcW w:w="900" w:type="dxa"/>
            <w:tcBorders>
              <w:top w:val="nil"/>
              <w:left w:val="nil"/>
              <w:bottom w:val="nil"/>
              <w:right w:val="nil"/>
            </w:tcBorders>
            <w:tcMar>
              <w:top w:w="80" w:type="dxa"/>
              <w:left w:w="120" w:type="dxa"/>
              <w:bottom w:w="80" w:type="dxa"/>
              <w:right w:w="120" w:type="dxa"/>
            </w:tcMar>
            <w:vAlign w:val="center"/>
          </w:tcPr>
          <w:p w14:paraId="0B927E7E">
            <w:pPr>
              <w:jc w:val="center"/>
            </w:pPr>
            <w:r>
              <w:rPr>
                <w:rFonts w:ascii="宋体" w:hAnsi="宋体" w:eastAsia="宋体" w:cs="宋体"/>
                <w:b w:val="0"/>
                <w:bCs w:val="0"/>
                <w:sz w:val="20"/>
                <w:szCs w:val="20"/>
              </w:rPr>
              <w:t>20640</w:t>
            </w:r>
          </w:p>
        </w:tc>
        <w:tc>
          <w:tcPr>
            <w:tcW w:w="1000" w:type="dxa"/>
            <w:tcBorders>
              <w:top w:val="nil"/>
              <w:left w:val="nil"/>
              <w:bottom w:val="nil"/>
              <w:right w:val="nil"/>
            </w:tcBorders>
            <w:tcMar>
              <w:top w:w="80" w:type="dxa"/>
              <w:left w:w="120" w:type="dxa"/>
              <w:bottom w:w="80" w:type="dxa"/>
              <w:right w:w="120" w:type="dxa"/>
            </w:tcMar>
            <w:vAlign w:val="center"/>
          </w:tcPr>
          <w:p w14:paraId="447EB4AE">
            <w:pPr>
              <w:jc w:val="center"/>
            </w:pPr>
            <w:r>
              <w:rPr>
                <w:rFonts w:ascii="宋体" w:hAnsi="宋体" w:eastAsia="宋体" w:cs="宋体"/>
                <w:b w:val="0"/>
                <w:bCs w:val="0"/>
                <w:sz w:val="20"/>
                <w:szCs w:val="20"/>
              </w:rPr>
              <w:t>1425.5</w:t>
            </w:r>
          </w:p>
        </w:tc>
        <w:tc>
          <w:tcPr>
            <w:tcW w:w="1000" w:type="dxa"/>
            <w:tcBorders>
              <w:top w:val="nil"/>
              <w:left w:val="nil"/>
              <w:bottom w:val="nil"/>
              <w:right w:val="nil"/>
            </w:tcBorders>
            <w:tcMar>
              <w:top w:w="80" w:type="dxa"/>
              <w:left w:w="120" w:type="dxa"/>
              <w:bottom w:w="80" w:type="dxa"/>
              <w:right w:w="120" w:type="dxa"/>
            </w:tcMar>
            <w:vAlign w:val="center"/>
          </w:tcPr>
          <w:p w14:paraId="203D3EBA">
            <w:pPr>
              <w:jc w:val="center"/>
            </w:pPr>
            <w:r>
              <w:rPr>
                <w:rFonts w:ascii="宋体" w:hAnsi="宋体" w:eastAsia="宋体" w:cs="宋体"/>
                <w:b w:val="0"/>
                <w:bCs w:val="0"/>
                <w:sz w:val="20"/>
                <w:szCs w:val="20"/>
              </w:rPr>
              <w:t>1132.5</w:t>
            </w:r>
          </w:p>
        </w:tc>
        <w:tc>
          <w:tcPr>
            <w:tcW w:w="1000" w:type="dxa"/>
            <w:tcBorders>
              <w:top w:val="nil"/>
              <w:left w:val="nil"/>
              <w:bottom w:val="nil"/>
              <w:right w:val="nil"/>
            </w:tcBorders>
            <w:tcMar>
              <w:top w:w="80" w:type="dxa"/>
              <w:left w:w="120" w:type="dxa"/>
              <w:bottom w:w="80" w:type="dxa"/>
              <w:right w:w="120" w:type="dxa"/>
            </w:tcMar>
            <w:vAlign w:val="center"/>
          </w:tcPr>
          <w:p w14:paraId="62661BBB">
            <w:pPr>
              <w:jc w:val="center"/>
            </w:pPr>
            <w:r>
              <w:rPr>
                <w:rFonts w:ascii="宋体" w:hAnsi="宋体" w:eastAsia="宋体" w:cs="宋体"/>
                <w:b w:val="0"/>
                <w:bCs w:val="0"/>
                <w:sz w:val="20"/>
                <w:szCs w:val="20"/>
              </w:rPr>
              <w:t>3.000</w:t>
            </w:r>
          </w:p>
        </w:tc>
        <w:tc>
          <w:tcPr>
            <w:tcW w:w="1000" w:type="dxa"/>
            <w:tcBorders>
              <w:top w:val="nil"/>
              <w:left w:val="nil"/>
              <w:bottom w:val="nil"/>
              <w:right w:val="nil"/>
            </w:tcBorders>
            <w:tcMar>
              <w:top w:w="80" w:type="dxa"/>
              <w:left w:w="120" w:type="dxa"/>
              <w:bottom w:w="80" w:type="dxa"/>
              <w:right w:w="120" w:type="dxa"/>
            </w:tcMar>
            <w:vAlign w:val="center"/>
          </w:tcPr>
          <w:p w14:paraId="19AA3653">
            <w:pPr>
              <w:jc w:val="center"/>
            </w:pPr>
            <w:r>
              <w:rPr>
                <w:rFonts w:ascii="宋体" w:hAnsi="宋体" w:eastAsia="宋体" w:cs="宋体"/>
                <w:b w:val="0"/>
                <w:bCs w:val="0"/>
                <w:sz w:val="20"/>
                <w:szCs w:val="20"/>
              </w:rPr>
              <w:t>1166.0</w:t>
            </w:r>
          </w:p>
        </w:tc>
        <w:tc>
          <w:tcPr>
            <w:tcW w:w="1000" w:type="dxa"/>
            <w:tcBorders>
              <w:top w:val="nil"/>
              <w:left w:val="nil"/>
              <w:bottom w:val="nil"/>
              <w:right w:val="nil"/>
            </w:tcBorders>
            <w:tcMar>
              <w:top w:w="80" w:type="dxa"/>
              <w:left w:w="120" w:type="dxa"/>
              <w:bottom w:w="80" w:type="dxa"/>
              <w:right w:w="120" w:type="dxa"/>
            </w:tcMar>
            <w:vAlign w:val="center"/>
          </w:tcPr>
          <w:p w14:paraId="1FF438C6">
            <w:pPr>
              <w:jc w:val="center"/>
            </w:pPr>
            <w:r>
              <w:rPr>
                <w:rFonts w:ascii="宋体" w:hAnsi="宋体" w:eastAsia="宋体" w:cs="宋体"/>
                <w:b w:val="0"/>
                <w:bCs w:val="0"/>
                <w:sz w:val="20"/>
                <w:szCs w:val="20"/>
              </w:rPr>
              <w:t>35682.0</w:t>
            </w:r>
          </w:p>
        </w:tc>
      </w:tr>
      <w:tr w14:paraId="07227A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700" w:type="dxa"/>
            <w:tcBorders>
              <w:top w:val="nil"/>
              <w:left w:val="nil"/>
              <w:bottom w:val="nil"/>
              <w:right w:val="nil"/>
            </w:tcBorders>
            <w:tcMar>
              <w:top w:w="80" w:type="dxa"/>
              <w:left w:w="120" w:type="dxa"/>
              <w:bottom w:w="80" w:type="dxa"/>
              <w:right w:w="120" w:type="dxa"/>
            </w:tcMar>
            <w:vAlign w:val="center"/>
          </w:tcPr>
          <w:p w14:paraId="033A1D02">
            <w:pPr>
              <w:jc w:val="center"/>
            </w:pPr>
            <w:r>
              <w:rPr>
                <w:rFonts w:ascii="宋体" w:hAnsi="宋体" w:eastAsia="宋体" w:cs="宋体"/>
                <w:b w:val="0"/>
                <w:bCs w:val="0"/>
                <w:sz w:val="20"/>
                <w:szCs w:val="20"/>
              </w:rPr>
              <w:t>平均入住人数</w:t>
            </w:r>
          </w:p>
        </w:tc>
        <w:tc>
          <w:tcPr>
            <w:tcW w:w="900" w:type="dxa"/>
            <w:tcBorders>
              <w:top w:val="nil"/>
              <w:left w:val="nil"/>
              <w:bottom w:val="nil"/>
              <w:right w:val="nil"/>
            </w:tcBorders>
            <w:tcMar>
              <w:top w:w="80" w:type="dxa"/>
              <w:left w:w="120" w:type="dxa"/>
              <w:bottom w:w="80" w:type="dxa"/>
              <w:right w:w="120" w:type="dxa"/>
            </w:tcMar>
            <w:vAlign w:val="center"/>
          </w:tcPr>
          <w:p w14:paraId="2767AD6F">
            <w:pPr>
              <w:jc w:val="center"/>
            </w:pPr>
            <w:r>
              <w:rPr>
                <w:rFonts w:ascii="宋体" w:hAnsi="宋体" w:eastAsia="宋体" w:cs="宋体"/>
                <w:b w:val="0"/>
                <w:bCs w:val="0"/>
                <w:sz w:val="20"/>
                <w:szCs w:val="20"/>
              </w:rPr>
              <w:t>20640</w:t>
            </w:r>
          </w:p>
        </w:tc>
        <w:tc>
          <w:tcPr>
            <w:tcW w:w="1000" w:type="dxa"/>
            <w:tcBorders>
              <w:top w:val="nil"/>
              <w:left w:val="nil"/>
              <w:bottom w:val="nil"/>
              <w:right w:val="nil"/>
            </w:tcBorders>
            <w:tcMar>
              <w:top w:w="80" w:type="dxa"/>
              <w:left w:w="120" w:type="dxa"/>
              <w:bottom w:w="80" w:type="dxa"/>
              <w:right w:w="120" w:type="dxa"/>
            </w:tcMar>
            <w:vAlign w:val="center"/>
          </w:tcPr>
          <w:p w14:paraId="26D4E79E">
            <w:pPr>
              <w:jc w:val="center"/>
            </w:pPr>
            <w:r>
              <w:rPr>
                <w:rFonts w:ascii="宋体" w:hAnsi="宋体" w:eastAsia="宋体" w:cs="宋体"/>
                <w:b w:val="0"/>
                <w:bCs w:val="0"/>
                <w:sz w:val="20"/>
                <w:szCs w:val="20"/>
              </w:rPr>
              <w:t>3.071</w:t>
            </w:r>
          </w:p>
        </w:tc>
        <w:tc>
          <w:tcPr>
            <w:tcW w:w="1000" w:type="dxa"/>
            <w:tcBorders>
              <w:top w:val="nil"/>
              <w:left w:val="nil"/>
              <w:bottom w:val="nil"/>
              <w:right w:val="nil"/>
            </w:tcBorders>
            <w:tcMar>
              <w:top w:w="80" w:type="dxa"/>
              <w:left w:w="120" w:type="dxa"/>
              <w:bottom w:w="80" w:type="dxa"/>
              <w:right w:w="120" w:type="dxa"/>
            </w:tcMar>
            <w:vAlign w:val="center"/>
          </w:tcPr>
          <w:p w14:paraId="72C4189F">
            <w:pPr>
              <w:jc w:val="center"/>
            </w:pPr>
            <w:r>
              <w:rPr>
                <w:rFonts w:ascii="宋体" w:hAnsi="宋体" w:eastAsia="宋体" w:cs="宋体"/>
                <w:b w:val="0"/>
                <w:bCs w:val="0"/>
                <w:sz w:val="20"/>
                <w:szCs w:val="20"/>
              </w:rPr>
              <w:t>10.386</w:t>
            </w:r>
          </w:p>
        </w:tc>
        <w:tc>
          <w:tcPr>
            <w:tcW w:w="1000" w:type="dxa"/>
            <w:tcBorders>
              <w:top w:val="nil"/>
              <w:left w:val="nil"/>
              <w:bottom w:val="nil"/>
              <w:right w:val="nil"/>
            </w:tcBorders>
            <w:tcMar>
              <w:top w:w="80" w:type="dxa"/>
              <w:left w:w="120" w:type="dxa"/>
              <w:bottom w:w="80" w:type="dxa"/>
              <w:right w:w="120" w:type="dxa"/>
            </w:tcMar>
            <w:vAlign w:val="center"/>
          </w:tcPr>
          <w:p w14:paraId="5554B825">
            <w:pPr>
              <w:jc w:val="center"/>
            </w:pPr>
            <w:r>
              <w:rPr>
                <w:rFonts w:ascii="宋体" w:hAnsi="宋体" w:eastAsia="宋体" w:cs="宋体"/>
                <w:b w:val="0"/>
                <w:bCs w:val="0"/>
                <w:sz w:val="20"/>
                <w:szCs w:val="20"/>
              </w:rPr>
              <w:t>0.692</w:t>
            </w:r>
          </w:p>
        </w:tc>
        <w:tc>
          <w:tcPr>
            <w:tcW w:w="1000" w:type="dxa"/>
            <w:tcBorders>
              <w:top w:val="nil"/>
              <w:left w:val="nil"/>
              <w:bottom w:val="nil"/>
              <w:right w:val="nil"/>
            </w:tcBorders>
            <w:tcMar>
              <w:top w:w="80" w:type="dxa"/>
              <w:left w:w="120" w:type="dxa"/>
              <w:bottom w:w="80" w:type="dxa"/>
              <w:right w:w="120" w:type="dxa"/>
            </w:tcMar>
            <w:vAlign w:val="center"/>
          </w:tcPr>
          <w:p w14:paraId="7BE3EED7">
            <w:pPr>
              <w:jc w:val="center"/>
            </w:pPr>
            <w:r>
              <w:rPr>
                <w:rFonts w:ascii="宋体" w:hAnsi="宋体" w:eastAsia="宋体" w:cs="宋体"/>
                <w:b w:val="0"/>
                <w:bCs w:val="0"/>
                <w:sz w:val="20"/>
                <w:szCs w:val="20"/>
              </w:rPr>
              <w:t>2.818</w:t>
            </w:r>
          </w:p>
        </w:tc>
        <w:tc>
          <w:tcPr>
            <w:tcW w:w="1000" w:type="dxa"/>
            <w:tcBorders>
              <w:top w:val="nil"/>
              <w:left w:val="nil"/>
              <w:bottom w:val="nil"/>
              <w:right w:val="nil"/>
            </w:tcBorders>
            <w:tcMar>
              <w:top w:w="80" w:type="dxa"/>
              <w:left w:w="120" w:type="dxa"/>
              <w:bottom w:w="80" w:type="dxa"/>
              <w:right w:w="120" w:type="dxa"/>
            </w:tcMar>
            <w:vAlign w:val="center"/>
          </w:tcPr>
          <w:p w14:paraId="7393B917">
            <w:pPr>
              <w:jc w:val="center"/>
            </w:pPr>
            <w:r>
              <w:rPr>
                <w:rFonts w:ascii="宋体" w:hAnsi="宋体" w:eastAsia="宋体" w:cs="宋体"/>
                <w:b w:val="0"/>
                <w:bCs w:val="0"/>
                <w:sz w:val="20"/>
                <w:szCs w:val="20"/>
              </w:rPr>
              <w:t>1243.3</w:t>
            </w:r>
          </w:p>
        </w:tc>
      </w:tr>
      <w:tr w14:paraId="6C6893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700" w:type="dxa"/>
            <w:tcBorders>
              <w:top w:val="nil"/>
              <w:left w:val="nil"/>
              <w:bottom w:val="nil"/>
              <w:right w:val="nil"/>
            </w:tcBorders>
            <w:tcMar>
              <w:top w:w="80" w:type="dxa"/>
              <w:left w:w="120" w:type="dxa"/>
              <w:bottom w:w="80" w:type="dxa"/>
              <w:right w:w="120" w:type="dxa"/>
            </w:tcMar>
            <w:vAlign w:val="center"/>
          </w:tcPr>
          <w:p w14:paraId="1329ADAF">
            <w:pPr>
              <w:jc w:val="center"/>
            </w:pPr>
            <w:r>
              <w:rPr>
                <w:rFonts w:ascii="宋体" w:hAnsi="宋体" w:eastAsia="宋体" w:cs="宋体"/>
                <w:b w:val="0"/>
                <w:bCs w:val="0"/>
                <w:sz w:val="20"/>
                <w:szCs w:val="20"/>
              </w:rPr>
              <w:t>纬度</w:t>
            </w:r>
          </w:p>
        </w:tc>
        <w:tc>
          <w:tcPr>
            <w:tcW w:w="900" w:type="dxa"/>
            <w:tcBorders>
              <w:top w:val="nil"/>
              <w:left w:val="nil"/>
              <w:bottom w:val="nil"/>
              <w:right w:val="nil"/>
            </w:tcBorders>
            <w:tcMar>
              <w:top w:w="80" w:type="dxa"/>
              <w:left w:w="120" w:type="dxa"/>
              <w:bottom w:w="80" w:type="dxa"/>
              <w:right w:w="120" w:type="dxa"/>
            </w:tcMar>
            <w:vAlign w:val="center"/>
          </w:tcPr>
          <w:p w14:paraId="51A99FFB">
            <w:pPr>
              <w:jc w:val="center"/>
            </w:pPr>
            <w:r>
              <w:rPr>
                <w:rFonts w:ascii="宋体" w:hAnsi="宋体" w:eastAsia="宋体" w:cs="宋体"/>
                <w:b w:val="0"/>
                <w:bCs w:val="0"/>
                <w:sz w:val="20"/>
                <w:szCs w:val="20"/>
              </w:rPr>
              <w:t>20640</w:t>
            </w:r>
          </w:p>
        </w:tc>
        <w:tc>
          <w:tcPr>
            <w:tcW w:w="1000" w:type="dxa"/>
            <w:tcBorders>
              <w:top w:val="nil"/>
              <w:left w:val="nil"/>
              <w:bottom w:val="nil"/>
              <w:right w:val="nil"/>
            </w:tcBorders>
            <w:tcMar>
              <w:top w:w="80" w:type="dxa"/>
              <w:left w:w="120" w:type="dxa"/>
              <w:bottom w:w="80" w:type="dxa"/>
              <w:right w:w="120" w:type="dxa"/>
            </w:tcMar>
            <w:vAlign w:val="center"/>
          </w:tcPr>
          <w:p w14:paraId="3D6485E7">
            <w:pPr>
              <w:jc w:val="center"/>
            </w:pPr>
            <w:r>
              <w:rPr>
                <w:rFonts w:ascii="宋体" w:hAnsi="宋体" w:eastAsia="宋体" w:cs="宋体"/>
                <w:b w:val="0"/>
                <w:bCs w:val="0"/>
                <w:sz w:val="20"/>
                <w:szCs w:val="20"/>
              </w:rPr>
              <w:t>35.632</w:t>
            </w:r>
          </w:p>
        </w:tc>
        <w:tc>
          <w:tcPr>
            <w:tcW w:w="1000" w:type="dxa"/>
            <w:tcBorders>
              <w:top w:val="nil"/>
              <w:left w:val="nil"/>
              <w:bottom w:val="nil"/>
              <w:right w:val="nil"/>
            </w:tcBorders>
            <w:tcMar>
              <w:top w:w="80" w:type="dxa"/>
              <w:left w:w="120" w:type="dxa"/>
              <w:bottom w:w="80" w:type="dxa"/>
              <w:right w:w="120" w:type="dxa"/>
            </w:tcMar>
            <w:vAlign w:val="center"/>
          </w:tcPr>
          <w:p w14:paraId="27F02EC6">
            <w:pPr>
              <w:jc w:val="center"/>
            </w:pPr>
            <w:r>
              <w:rPr>
                <w:rFonts w:ascii="宋体" w:hAnsi="宋体" w:eastAsia="宋体" w:cs="宋体"/>
                <w:b w:val="0"/>
                <w:bCs w:val="0"/>
                <w:sz w:val="20"/>
                <w:szCs w:val="20"/>
              </w:rPr>
              <w:t>2.136</w:t>
            </w:r>
          </w:p>
        </w:tc>
        <w:tc>
          <w:tcPr>
            <w:tcW w:w="1000" w:type="dxa"/>
            <w:tcBorders>
              <w:top w:val="nil"/>
              <w:left w:val="nil"/>
              <w:bottom w:val="nil"/>
              <w:right w:val="nil"/>
            </w:tcBorders>
            <w:tcMar>
              <w:top w:w="80" w:type="dxa"/>
              <w:left w:w="120" w:type="dxa"/>
              <w:bottom w:w="80" w:type="dxa"/>
              <w:right w:w="120" w:type="dxa"/>
            </w:tcMar>
            <w:vAlign w:val="center"/>
          </w:tcPr>
          <w:p w14:paraId="7678FEDC">
            <w:pPr>
              <w:jc w:val="center"/>
            </w:pPr>
            <w:r>
              <w:rPr>
                <w:rFonts w:ascii="宋体" w:hAnsi="宋体" w:eastAsia="宋体" w:cs="宋体"/>
                <w:b w:val="0"/>
                <w:bCs w:val="0"/>
                <w:sz w:val="20"/>
                <w:szCs w:val="20"/>
              </w:rPr>
              <w:t>32.540</w:t>
            </w:r>
          </w:p>
        </w:tc>
        <w:tc>
          <w:tcPr>
            <w:tcW w:w="1000" w:type="dxa"/>
            <w:tcBorders>
              <w:top w:val="nil"/>
              <w:left w:val="nil"/>
              <w:bottom w:val="nil"/>
              <w:right w:val="nil"/>
            </w:tcBorders>
            <w:tcMar>
              <w:top w:w="80" w:type="dxa"/>
              <w:left w:w="120" w:type="dxa"/>
              <w:bottom w:w="80" w:type="dxa"/>
              <w:right w:w="120" w:type="dxa"/>
            </w:tcMar>
            <w:vAlign w:val="center"/>
          </w:tcPr>
          <w:p w14:paraId="7E057536">
            <w:pPr>
              <w:jc w:val="center"/>
            </w:pPr>
            <w:r>
              <w:rPr>
                <w:rFonts w:ascii="宋体" w:hAnsi="宋体" w:eastAsia="宋体" w:cs="宋体"/>
                <w:b w:val="0"/>
                <w:bCs w:val="0"/>
                <w:sz w:val="20"/>
                <w:szCs w:val="20"/>
              </w:rPr>
              <w:t>34.260</w:t>
            </w:r>
          </w:p>
        </w:tc>
        <w:tc>
          <w:tcPr>
            <w:tcW w:w="1000" w:type="dxa"/>
            <w:tcBorders>
              <w:top w:val="nil"/>
              <w:left w:val="nil"/>
              <w:bottom w:val="nil"/>
              <w:right w:val="nil"/>
            </w:tcBorders>
            <w:tcMar>
              <w:top w:w="80" w:type="dxa"/>
              <w:left w:w="120" w:type="dxa"/>
              <w:bottom w:w="80" w:type="dxa"/>
              <w:right w:w="120" w:type="dxa"/>
            </w:tcMar>
            <w:vAlign w:val="center"/>
          </w:tcPr>
          <w:p w14:paraId="35DA86F9">
            <w:pPr>
              <w:jc w:val="center"/>
            </w:pPr>
            <w:r>
              <w:rPr>
                <w:rFonts w:ascii="宋体" w:hAnsi="宋体" w:eastAsia="宋体" w:cs="宋体"/>
                <w:b w:val="0"/>
                <w:bCs w:val="0"/>
                <w:sz w:val="20"/>
                <w:szCs w:val="20"/>
              </w:rPr>
              <w:t>41.950</w:t>
            </w:r>
          </w:p>
        </w:tc>
      </w:tr>
      <w:tr w14:paraId="5E6D6D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700" w:type="dxa"/>
            <w:tcBorders>
              <w:top w:val="nil"/>
              <w:left w:val="nil"/>
              <w:bottom w:val="nil"/>
              <w:right w:val="nil"/>
            </w:tcBorders>
            <w:tcMar>
              <w:top w:w="80" w:type="dxa"/>
              <w:left w:w="120" w:type="dxa"/>
              <w:bottom w:w="80" w:type="dxa"/>
              <w:right w:w="120" w:type="dxa"/>
            </w:tcMar>
            <w:vAlign w:val="center"/>
          </w:tcPr>
          <w:p w14:paraId="0AFBAD73">
            <w:pPr>
              <w:jc w:val="center"/>
            </w:pPr>
            <w:r>
              <w:rPr>
                <w:rFonts w:ascii="宋体" w:hAnsi="宋体" w:eastAsia="宋体" w:cs="宋体"/>
                <w:b w:val="0"/>
                <w:bCs w:val="0"/>
                <w:sz w:val="20"/>
                <w:szCs w:val="20"/>
              </w:rPr>
              <w:t>经度</w:t>
            </w:r>
          </w:p>
        </w:tc>
        <w:tc>
          <w:tcPr>
            <w:tcW w:w="900" w:type="dxa"/>
            <w:tcBorders>
              <w:top w:val="nil"/>
              <w:left w:val="nil"/>
              <w:bottom w:val="nil"/>
              <w:right w:val="nil"/>
            </w:tcBorders>
            <w:tcMar>
              <w:top w:w="80" w:type="dxa"/>
              <w:left w:w="120" w:type="dxa"/>
              <w:bottom w:w="80" w:type="dxa"/>
              <w:right w:w="120" w:type="dxa"/>
            </w:tcMar>
            <w:vAlign w:val="center"/>
          </w:tcPr>
          <w:p w14:paraId="5FB3A2EC">
            <w:pPr>
              <w:jc w:val="center"/>
            </w:pPr>
            <w:r>
              <w:rPr>
                <w:rFonts w:ascii="宋体" w:hAnsi="宋体" w:eastAsia="宋体" w:cs="宋体"/>
                <w:b w:val="0"/>
                <w:bCs w:val="0"/>
                <w:sz w:val="20"/>
                <w:szCs w:val="20"/>
              </w:rPr>
              <w:t>20640</w:t>
            </w:r>
          </w:p>
        </w:tc>
        <w:tc>
          <w:tcPr>
            <w:tcW w:w="1000" w:type="dxa"/>
            <w:tcBorders>
              <w:top w:val="nil"/>
              <w:left w:val="nil"/>
              <w:bottom w:val="nil"/>
              <w:right w:val="nil"/>
            </w:tcBorders>
            <w:tcMar>
              <w:top w:w="80" w:type="dxa"/>
              <w:left w:w="120" w:type="dxa"/>
              <w:bottom w:w="80" w:type="dxa"/>
              <w:right w:w="120" w:type="dxa"/>
            </w:tcMar>
            <w:vAlign w:val="center"/>
          </w:tcPr>
          <w:p w14:paraId="21D69AD3">
            <w:pPr>
              <w:jc w:val="center"/>
            </w:pPr>
            <w:r>
              <w:rPr>
                <w:rFonts w:ascii="宋体" w:hAnsi="宋体" w:eastAsia="宋体" w:cs="宋体"/>
                <w:b w:val="0"/>
                <w:bCs w:val="0"/>
                <w:sz w:val="20"/>
                <w:szCs w:val="20"/>
              </w:rPr>
              <w:t>-119.57</w:t>
            </w:r>
          </w:p>
        </w:tc>
        <w:tc>
          <w:tcPr>
            <w:tcW w:w="1000" w:type="dxa"/>
            <w:tcBorders>
              <w:top w:val="nil"/>
              <w:left w:val="nil"/>
              <w:bottom w:val="nil"/>
              <w:right w:val="nil"/>
            </w:tcBorders>
            <w:tcMar>
              <w:top w:w="80" w:type="dxa"/>
              <w:left w:w="120" w:type="dxa"/>
              <w:bottom w:w="80" w:type="dxa"/>
              <w:right w:w="120" w:type="dxa"/>
            </w:tcMar>
            <w:vAlign w:val="center"/>
          </w:tcPr>
          <w:p w14:paraId="48C498A5">
            <w:pPr>
              <w:jc w:val="center"/>
            </w:pPr>
            <w:r>
              <w:rPr>
                <w:rFonts w:ascii="宋体" w:hAnsi="宋体" w:eastAsia="宋体" w:cs="宋体"/>
                <w:b w:val="0"/>
                <w:bCs w:val="0"/>
                <w:sz w:val="20"/>
                <w:szCs w:val="20"/>
              </w:rPr>
              <w:t>2.004</w:t>
            </w:r>
          </w:p>
        </w:tc>
        <w:tc>
          <w:tcPr>
            <w:tcW w:w="1000" w:type="dxa"/>
            <w:tcBorders>
              <w:top w:val="nil"/>
              <w:left w:val="nil"/>
              <w:bottom w:val="nil"/>
              <w:right w:val="nil"/>
            </w:tcBorders>
            <w:tcMar>
              <w:top w:w="80" w:type="dxa"/>
              <w:left w:w="120" w:type="dxa"/>
              <w:bottom w:w="80" w:type="dxa"/>
              <w:right w:w="120" w:type="dxa"/>
            </w:tcMar>
            <w:vAlign w:val="center"/>
          </w:tcPr>
          <w:p w14:paraId="79620A75">
            <w:pPr>
              <w:jc w:val="center"/>
            </w:pPr>
            <w:r>
              <w:rPr>
                <w:rFonts w:ascii="宋体" w:hAnsi="宋体" w:eastAsia="宋体" w:cs="宋体"/>
                <w:b w:val="0"/>
                <w:bCs w:val="0"/>
                <w:sz w:val="20"/>
                <w:szCs w:val="20"/>
              </w:rPr>
              <w:t>-124.35</w:t>
            </w:r>
          </w:p>
        </w:tc>
        <w:tc>
          <w:tcPr>
            <w:tcW w:w="1000" w:type="dxa"/>
            <w:tcBorders>
              <w:top w:val="nil"/>
              <w:left w:val="nil"/>
              <w:bottom w:val="nil"/>
              <w:right w:val="nil"/>
            </w:tcBorders>
            <w:tcMar>
              <w:top w:w="80" w:type="dxa"/>
              <w:left w:w="120" w:type="dxa"/>
              <w:bottom w:w="80" w:type="dxa"/>
              <w:right w:w="120" w:type="dxa"/>
            </w:tcMar>
            <w:vAlign w:val="center"/>
          </w:tcPr>
          <w:p w14:paraId="6B9F2FED">
            <w:pPr>
              <w:jc w:val="center"/>
            </w:pPr>
            <w:r>
              <w:rPr>
                <w:rFonts w:ascii="宋体" w:hAnsi="宋体" w:eastAsia="宋体" w:cs="宋体"/>
                <w:b w:val="0"/>
                <w:bCs w:val="0"/>
                <w:sz w:val="20"/>
                <w:szCs w:val="20"/>
              </w:rPr>
              <w:t>-118.49</w:t>
            </w:r>
          </w:p>
        </w:tc>
        <w:tc>
          <w:tcPr>
            <w:tcW w:w="1000" w:type="dxa"/>
            <w:tcBorders>
              <w:top w:val="nil"/>
              <w:left w:val="nil"/>
              <w:bottom w:val="nil"/>
              <w:right w:val="nil"/>
            </w:tcBorders>
            <w:tcMar>
              <w:top w:w="80" w:type="dxa"/>
              <w:left w:w="120" w:type="dxa"/>
              <w:bottom w:w="80" w:type="dxa"/>
              <w:right w:w="120" w:type="dxa"/>
            </w:tcMar>
            <w:vAlign w:val="center"/>
          </w:tcPr>
          <w:p w14:paraId="082F4CE4">
            <w:pPr>
              <w:jc w:val="center"/>
            </w:pPr>
            <w:r>
              <w:rPr>
                <w:rFonts w:ascii="宋体" w:hAnsi="宋体" w:eastAsia="宋体" w:cs="宋体"/>
                <w:b w:val="0"/>
                <w:bCs w:val="0"/>
                <w:sz w:val="20"/>
                <w:szCs w:val="20"/>
              </w:rPr>
              <w:t>-114.31</w:t>
            </w:r>
          </w:p>
        </w:tc>
      </w:tr>
      <w:tr w14:paraId="6373EA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700" w:type="dxa"/>
            <w:tcBorders>
              <w:top w:val="nil"/>
              <w:left w:val="nil"/>
              <w:bottom w:val="single" w:color="000000" w:sz="12" w:space="0"/>
              <w:right w:val="nil"/>
            </w:tcBorders>
            <w:tcMar>
              <w:top w:w="80" w:type="dxa"/>
              <w:left w:w="120" w:type="dxa"/>
              <w:bottom w:w="80" w:type="dxa"/>
              <w:right w:w="120" w:type="dxa"/>
            </w:tcMar>
            <w:vAlign w:val="center"/>
          </w:tcPr>
          <w:p w14:paraId="4D0ACD9D">
            <w:pPr>
              <w:jc w:val="center"/>
            </w:pPr>
            <w:r>
              <w:rPr>
                <w:rFonts w:ascii="宋体" w:hAnsi="宋体" w:eastAsia="宋体" w:cs="宋体"/>
                <w:b w:val="0"/>
                <w:bCs w:val="0"/>
                <w:sz w:val="20"/>
                <w:szCs w:val="20"/>
              </w:rPr>
              <w:t>房价中位数(万美元)</w:t>
            </w:r>
          </w:p>
        </w:tc>
        <w:tc>
          <w:tcPr>
            <w:tcW w:w="900" w:type="dxa"/>
            <w:tcBorders>
              <w:top w:val="nil"/>
              <w:left w:val="nil"/>
              <w:bottom w:val="single" w:color="000000" w:sz="12" w:space="0"/>
              <w:right w:val="nil"/>
            </w:tcBorders>
            <w:tcMar>
              <w:top w:w="80" w:type="dxa"/>
              <w:left w:w="120" w:type="dxa"/>
              <w:bottom w:w="80" w:type="dxa"/>
              <w:right w:w="120" w:type="dxa"/>
            </w:tcMar>
            <w:vAlign w:val="center"/>
          </w:tcPr>
          <w:p w14:paraId="2E81CFB1">
            <w:pPr>
              <w:jc w:val="center"/>
            </w:pPr>
            <w:r>
              <w:rPr>
                <w:rFonts w:ascii="宋体" w:hAnsi="宋体" w:eastAsia="宋体" w:cs="宋体"/>
                <w:b w:val="0"/>
                <w:bCs w:val="0"/>
                <w:sz w:val="20"/>
                <w:szCs w:val="20"/>
              </w:rPr>
              <w:t>20640</w:t>
            </w:r>
          </w:p>
        </w:tc>
        <w:tc>
          <w:tcPr>
            <w:tcW w:w="1000" w:type="dxa"/>
            <w:tcBorders>
              <w:top w:val="nil"/>
              <w:left w:val="nil"/>
              <w:bottom w:val="single" w:color="000000" w:sz="12" w:space="0"/>
              <w:right w:val="nil"/>
            </w:tcBorders>
            <w:tcMar>
              <w:top w:w="80" w:type="dxa"/>
              <w:left w:w="120" w:type="dxa"/>
              <w:bottom w:w="80" w:type="dxa"/>
              <w:right w:w="120" w:type="dxa"/>
            </w:tcMar>
            <w:vAlign w:val="center"/>
          </w:tcPr>
          <w:p w14:paraId="7681789B">
            <w:pPr>
              <w:jc w:val="center"/>
            </w:pPr>
            <w:r>
              <w:rPr>
                <w:rFonts w:ascii="宋体" w:hAnsi="宋体" w:eastAsia="宋体" w:cs="宋体"/>
                <w:b w:val="0"/>
                <w:bCs w:val="0"/>
                <w:sz w:val="20"/>
                <w:szCs w:val="20"/>
              </w:rPr>
              <w:t>2.069</w:t>
            </w:r>
          </w:p>
        </w:tc>
        <w:tc>
          <w:tcPr>
            <w:tcW w:w="1000" w:type="dxa"/>
            <w:tcBorders>
              <w:top w:val="nil"/>
              <w:left w:val="nil"/>
              <w:bottom w:val="single" w:color="000000" w:sz="12" w:space="0"/>
              <w:right w:val="nil"/>
            </w:tcBorders>
            <w:tcMar>
              <w:top w:w="80" w:type="dxa"/>
              <w:left w:w="120" w:type="dxa"/>
              <w:bottom w:w="80" w:type="dxa"/>
              <w:right w:w="120" w:type="dxa"/>
            </w:tcMar>
            <w:vAlign w:val="center"/>
          </w:tcPr>
          <w:p w14:paraId="54F42CDE">
            <w:pPr>
              <w:jc w:val="center"/>
            </w:pPr>
            <w:r>
              <w:rPr>
                <w:rFonts w:ascii="宋体" w:hAnsi="宋体" w:eastAsia="宋体" w:cs="宋体"/>
                <w:b w:val="0"/>
                <w:bCs w:val="0"/>
                <w:sz w:val="20"/>
                <w:szCs w:val="20"/>
              </w:rPr>
              <w:t>1.154</w:t>
            </w:r>
          </w:p>
        </w:tc>
        <w:tc>
          <w:tcPr>
            <w:tcW w:w="1000" w:type="dxa"/>
            <w:tcBorders>
              <w:top w:val="nil"/>
              <w:left w:val="nil"/>
              <w:bottom w:val="single" w:color="000000" w:sz="12" w:space="0"/>
              <w:right w:val="nil"/>
            </w:tcBorders>
            <w:tcMar>
              <w:top w:w="80" w:type="dxa"/>
              <w:left w:w="120" w:type="dxa"/>
              <w:bottom w:w="80" w:type="dxa"/>
              <w:right w:w="120" w:type="dxa"/>
            </w:tcMar>
            <w:vAlign w:val="center"/>
          </w:tcPr>
          <w:p w14:paraId="15BA9741">
            <w:pPr>
              <w:jc w:val="center"/>
            </w:pPr>
            <w:r>
              <w:rPr>
                <w:rFonts w:ascii="宋体" w:hAnsi="宋体" w:eastAsia="宋体" w:cs="宋体"/>
                <w:b w:val="0"/>
                <w:bCs w:val="0"/>
                <w:sz w:val="20"/>
                <w:szCs w:val="20"/>
              </w:rPr>
              <w:t>0.150</w:t>
            </w:r>
          </w:p>
        </w:tc>
        <w:tc>
          <w:tcPr>
            <w:tcW w:w="1000" w:type="dxa"/>
            <w:tcBorders>
              <w:top w:val="nil"/>
              <w:left w:val="nil"/>
              <w:bottom w:val="single" w:color="000000" w:sz="12" w:space="0"/>
              <w:right w:val="nil"/>
            </w:tcBorders>
            <w:tcMar>
              <w:top w:w="80" w:type="dxa"/>
              <w:left w:w="120" w:type="dxa"/>
              <w:bottom w:w="80" w:type="dxa"/>
              <w:right w:w="120" w:type="dxa"/>
            </w:tcMar>
            <w:vAlign w:val="center"/>
          </w:tcPr>
          <w:p w14:paraId="2156C571">
            <w:pPr>
              <w:jc w:val="center"/>
            </w:pPr>
            <w:r>
              <w:rPr>
                <w:rFonts w:ascii="宋体" w:hAnsi="宋体" w:eastAsia="宋体" w:cs="宋体"/>
                <w:b w:val="0"/>
                <w:bCs w:val="0"/>
                <w:sz w:val="20"/>
                <w:szCs w:val="20"/>
              </w:rPr>
              <w:t>1.797</w:t>
            </w:r>
          </w:p>
        </w:tc>
        <w:tc>
          <w:tcPr>
            <w:tcW w:w="1000" w:type="dxa"/>
            <w:tcBorders>
              <w:top w:val="nil"/>
              <w:left w:val="nil"/>
              <w:bottom w:val="single" w:color="000000" w:sz="12" w:space="0"/>
              <w:right w:val="nil"/>
            </w:tcBorders>
            <w:tcMar>
              <w:top w:w="80" w:type="dxa"/>
              <w:left w:w="120" w:type="dxa"/>
              <w:bottom w:w="80" w:type="dxa"/>
              <w:right w:w="120" w:type="dxa"/>
            </w:tcMar>
            <w:vAlign w:val="center"/>
          </w:tcPr>
          <w:p w14:paraId="0769BC5F">
            <w:pPr>
              <w:jc w:val="center"/>
            </w:pPr>
            <w:r>
              <w:rPr>
                <w:rFonts w:ascii="宋体" w:hAnsi="宋体" w:eastAsia="宋体" w:cs="宋体"/>
                <w:b w:val="0"/>
                <w:bCs w:val="0"/>
                <w:sz w:val="20"/>
                <w:szCs w:val="20"/>
              </w:rPr>
              <w:t>5.000</w:t>
            </w:r>
          </w:p>
        </w:tc>
      </w:tr>
    </w:tbl>
    <w:p w14:paraId="36E5065E">
      <w:pPr>
        <w:spacing w:before="0" w:after="200" w:line="360" w:lineRule="auto"/>
        <w:jc w:val="both"/>
      </w:pPr>
    </w:p>
    <w:p w14:paraId="11484791">
      <w:pPr>
        <w:pStyle w:val="3"/>
        <w:spacing w:before="200" w:after="100" w:line="360" w:lineRule="auto"/>
        <w:jc w:val="left"/>
      </w:pPr>
      <w:bookmarkStart w:id="7" w:name="_Toc20422"/>
      <w:r>
        <w:rPr>
          <w:rFonts w:ascii="宋体" w:hAnsi="宋体" w:eastAsia="宋体" w:cs="宋体"/>
          <w:b/>
          <w:bCs/>
          <w:sz w:val="28"/>
          <w:szCs w:val="28"/>
        </w:rPr>
        <w:t>2.3 变量分布</w:t>
      </w:r>
      <w:bookmarkEnd w:id="7"/>
    </w:p>
    <w:p w14:paraId="4ACF5934">
      <w:pPr>
        <w:spacing w:before="0" w:after="0" w:line="400" w:lineRule="auto"/>
        <w:ind w:firstLine="480"/>
        <w:jc w:val="both"/>
      </w:pPr>
      <w:r>
        <w:rPr>
          <w:rFonts w:ascii="宋体" w:hAnsi="宋体" w:eastAsia="宋体" w:cs="宋体"/>
          <w:sz w:val="24"/>
          <w:szCs w:val="24"/>
        </w:rPr>
        <w:t>图1展示了各变量的频率分布直方图。从中可以观察到：家庭收入中位数呈现右偏分布，大部分家庭收入集中在2至5万美元区间；房屋年龄在10至50年之间较为均匀分布；房价中位数在5万美元处出现明显的截断效应（数据采集时的上限），实际高端房价可能被低估。</w:t>
      </w:r>
    </w:p>
    <w:p w14:paraId="6866ED28">
      <w:pPr>
        <w:spacing w:before="120" w:after="60"/>
        <w:jc w:val="center"/>
      </w:pPr>
      <w:r>
        <w:drawing>
          <wp:inline distT="0" distB="0" distL="0" distR="0">
            <wp:extent cx="4572000" cy="3619500"/>
            <wp:effectExtent l="0" t="0" r="0" b="0"/>
            <wp:docPr id="1" name="fig2_histograms.png" descr="图1  各变量频率分布直方图" title="图1  各变量频率分布直方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2_histograms.png" descr="图1  各变量频率分布直方图" title="图1  各变量频率分布直方图"/>
                    <pic:cNvPicPr>
                      <a:picLocks noChangeAspect="1" noChangeArrowheads="1"/>
                    </pic:cNvPicPr>
                  </pic:nvPicPr>
                  <pic:blipFill>
                    <a:blip r:embed="rId7"/>
                    <a:srcRect/>
                    <a:stretch>
                      <a:fillRect/>
                    </a:stretch>
                  </pic:blipFill>
                  <pic:spPr>
                    <a:xfrm>
                      <a:off x="0" y="0"/>
                      <a:ext cx="4572000" cy="3619500"/>
                    </a:xfrm>
                    <a:prstGeom prst="rect">
                      <a:avLst/>
                    </a:prstGeom>
                  </pic:spPr>
                </pic:pic>
              </a:graphicData>
            </a:graphic>
          </wp:inline>
        </w:drawing>
      </w:r>
    </w:p>
    <w:p w14:paraId="55D8E48D">
      <w:pPr>
        <w:spacing w:after="200"/>
        <w:jc w:val="center"/>
      </w:pPr>
      <w:r>
        <w:rPr>
          <w:rFonts w:ascii="宋体" w:hAnsi="宋体" w:eastAsia="宋体" w:cs="宋体"/>
          <w:color w:val="333333"/>
          <w:sz w:val="20"/>
          <w:szCs w:val="20"/>
        </w:rPr>
        <w:t>图1  各变量频率分布直方图</w:t>
      </w:r>
    </w:p>
    <w:p w14:paraId="59824757">
      <w:pPr>
        <w:pStyle w:val="3"/>
        <w:spacing w:before="200" w:after="100" w:line="360" w:lineRule="auto"/>
        <w:jc w:val="left"/>
      </w:pPr>
      <w:bookmarkStart w:id="8" w:name="_Toc21881"/>
      <w:r>
        <w:rPr>
          <w:rFonts w:ascii="宋体" w:hAnsi="宋体" w:eastAsia="宋体" w:cs="宋体"/>
          <w:b/>
          <w:bCs/>
          <w:sz w:val="28"/>
          <w:szCs w:val="28"/>
        </w:rPr>
        <w:t>2.4 相关性分析</w:t>
      </w:r>
      <w:bookmarkEnd w:id="8"/>
    </w:p>
    <w:p w14:paraId="1194579A">
      <w:pPr>
        <w:spacing w:before="0" w:after="0" w:line="400" w:lineRule="auto"/>
        <w:ind w:firstLine="480"/>
        <w:jc w:val="both"/>
      </w:pPr>
      <w:r>
        <w:rPr>
          <w:rFonts w:ascii="宋体" w:hAnsi="宋体" w:eastAsia="宋体" w:cs="宋体"/>
          <w:sz w:val="24"/>
          <w:szCs w:val="24"/>
        </w:rPr>
        <w:t>图2为各变量之间的皮尔逊相关系数热力图。分析可知：</w:t>
      </w:r>
    </w:p>
    <w:p w14:paraId="0EBA10B9">
      <w:pPr>
        <w:spacing w:before="0" w:after="0" w:line="400" w:lineRule="auto"/>
        <w:ind w:firstLine="480"/>
        <w:jc w:val="both"/>
      </w:pPr>
      <w:r>
        <w:rPr>
          <w:rFonts w:ascii="宋体" w:hAnsi="宋体" w:eastAsia="宋体" w:cs="宋体"/>
          <w:sz w:val="24"/>
          <w:szCs w:val="24"/>
        </w:rPr>
        <w:t>（1）家庭收入中位数与房价中位数之间呈现最强的正相关关系（r=0.69），表明收入水平是驱动房价的核心因素。</w:t>
      </w:r>
    </w:p>
    <w:p w14:paraId="2FDE25B9">
      <w:pPr>
        <w:spacing w:before="0" w:after="0" w:line="400" w:lineRule="auto"/>
        <w:ind w:firstLine="480"/>
        <w:jc w:val="both"/>
      </w:pPr>
      <w:r>
        <w:rPr>
          <w:rFonts w:ascii="宋体" w:hAnsi="宋体" w:eastAsia="宋体" w:cs="宋体"/>
          <w:sz w:val="24"/>
          <w:szCs w:val="24"/>
        </w:rPr>
        <w:t>（2）纬度与经度均与房价存在一定负相关（r分别为-0.14和-0.05），反映出加州内陆高纬度地区整体房价偏低、沿海城市圈（旧金山湾区、大洛杉矶地区等）房价偏高的空间分布特征。</w:t>
      </w:r>
    </w:p>
    <w:p w14:paraId="166DEC64">
      <w:pPr>
        <w:spacing w:before="0" w:after="0" w:line="400" w:lineRule="auto"/>
        <w:ind w:firstLine="480"/>
        <w:jc w:val="both"/>
      </w:pPr>
      <w:r>
        <w:rPr>
          <w:rFonts w:ascii="宋体" w:hAnsi="宋体" w:eastAsia="宋体" w:cs="宋体"/>
          <w:sz w:val="24"/>
          <w:szCs w:val="24"/>
        </w:rPr>
        <w:t>（3）平均房间数与平均卧室数高度正相关（r=0.85），存在较强的多重共线性，后续建模时需注意。</w:t>
      </w:r>
    </w:p>
    <w:p w14:paraId="23060515">
      <w:pPr>
        <w:spacing w:before="120" w:after="60"/>
        <w:jc w:val="center"/>
      </w:pPr>
      <w:r>
        <w:drawing>
          <wp:inline distT="0" distB="0" distL="0" distR="0">
            <wp:extent cx="4095750" cy="3429000"/>
            <wp:effectExtent l="0" t="0" r="0" b="0"/>
            <wp:docPr id="2" name="fig1_correlation_heatmap.png" descr="图2  皮尔逊相关系数热力图" title="图2  皮尔逊相关系数热力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1_correlation_heatmap.png" descr="图2  皮尔逊相关系数热力图" title="图2  皮尔逊相关系数热力图"/>
                    <pic:cNvPicPr>
                      <a:picLocks noChangeAspect="1" noChangeArrowheads="1"/>
                    </pic:cNvPicPr>
                  </pic:nvPicPr>
                  <pic:blipFill>
                    <a:blip r:embed="rId8"/>
                    <a:srcRect/>
                    <a:stretch>
                      <a:fillRect/>
                    </a:stretch>
                  </pic:blipFill>
                  <pic:spPr>
                    <a:xfrm>
                      <a:off x="0" y="0"/>
                      <a:ext cx="4095750" cy="3429000"/>
                    </a:xfrm>
                    <a:prstGeom prst="rect">
                      <a:avLst/>
                    </a:prstGeom>
                  </pic:spPr>
                </pic:pic>
              </a:graphicData>
            </a:graphic>
          </wp:inline>
        </w:drawing>
      </w:r>
    </w:p>
    <w:p w14:paraId="7B1F4A02">
      <w:pPr>
        <w:spacing w:after="200"/>
        <w:jc w:val="center"/>
      </w:pPr>
      <w:r>
        <w:rPr>
          <w:rFonts w:ascii="宋体" w:hAnsi="宋体" w:eastAsia="宋体" w:cs="宋体"/>
          <w:color w:val="333333"/>
          <w:sz w:val="20"/>
          <w:szCs w:val="20"/>
        </w:rPr>
        <w:t>图2  皮尔逊相关系数热力图</w:t>
      </w:r>
    </w:p>
    <w:p w14:paraId="36C10D1C">
      <w:pPr>
        <w:pStyle w:val="2"/>
        <w:spacing w:before="240" w:after="120" w:line="360" w:lineRule="auto"/>
        <w:jc w:val="left"/>
      </w:pPr>
      <w:bookmarkStart w:id="9" w:name="_Toc8662"/>
      <w:r>
        <w:rPr>
          <w:rFonts w:ascii="宋体" w:hAnsi="宋体" w:eastAsia="宋体" w:cs="宋体"/>
          <w:b/>
          <w:bCs/>
          <w:sz w:val="32"/>
          <w:szCs w:val="32"/>
        </w:rPr>
        <w:t>三、研究方法</w:t>
      </w:r>
      <w:bookmarkEnd w:id="9"/>
    </w:p>
    <w:p w14:paraId="7C2609D9">
      <w:pPr>
        <w:pStyle w:val="3"/>
        <w:spacing w:before="200" w:after="100" w:line="360" w:lineRule="auto"/>
        <w:jc w:val="left"/>
      </w:pPr>
      <w:bookmarkStart w:id="10" w:name="_Toc18447"/>
      <w:r>
        <w:rPr>
          <w:rFonts w:ascii="宋体" w:hAnsi="宋体" w:eastAsia="宋体" w:cs="宋体"/>
          <w:b/>
          <w:bCs/>
          <w:sz w:val="28"/>
          <w:szCs w:val="28"/>
        </w:rPr>
        <w:t>3.1 数据预处理</w:t>
      </w:r>
      <w:bookmarkEnd w:id="10"/>
    </w:p>
    <w:p w14:paraId="4537CB60">
      <w:pPr>
        <w:spacing w:before="0" w:after="0" w:line="400" w:lineRule="auto"/>
        <w:ind w:firstLine="480"/>
        <w:jc w:val="both"/>
      </w:pPr>
      <w:r>
        <w:rPr>
          <w:rFonts w:ascii="宋体" w:hAnsi="宋体" w:eastAsia="宋体" w:cs="宋体"/>
          <w:sz w:val="24"/>
          <w:szCs w:val="24"/>
        </w:rPr>
        <w:t>为保证模型训练的有效性，本研究对数据进行了以下预处理操作：</w:t>
      </w:r>
    </w:p>
    <w:p w14:paraId="36F045ED">
      <w:pPr>
        <w:spacing w:before="0" w:after="0" w:line="400" w:lineRule="auto"/>
        <w:ind w:firstLine="480"/>
        <w:jc w:val="both"/>
      </w:pPr>
      <w:r>
        <w:rPr>
          <w:rFonts w:ascii="宋体" w:hAnsi="宋体" w:eastAsia="宋体" w:cs="宋体"/>
          <w:sz w:val="24"/>
          <w:szCs w:val="24"/>
        </w:rPr>
        <w:t>（1）训练集与测试集划分：按8:2比例随机拆分数据集，训练集16,512个样本，测试集4,128个样本，随机种子设为42以保证结果可复现。</w:t>
      </w:r>
    </w:p>
    <w:p w14:paraId="1D1E0406">
      <w:pPr>
        <w:spacing w:before="0" w:after="0" w:line="400" w:lineRule="auto"/>
        <w:ind w:firstLine="480"/>
        <w:jc w:val="both"/>
      </w:pPr>
      <w:r>
        <w:rPr>
          <w:rFonts w:ascii="宋体" w:hAnsi="宋体" w:eastAsia="宋体" w:cs="宋体"/>
          <w:sz w:val="24"/>
          <w:szCs w:val="24"/>
        </w:rPr>
        <w:t>（2）特征标准化：采用Z-Score标准化（均值为0、标准差为1），消除不同特征量纲差异对模型的影响，尤其对SVR模型至关重要。</w:t>
      </w:r>
    </w:p>
    <w:p w14:paraId="58CEC8E7">
      <w:pPr>
        <w:pStyle w:val="3"/>
        <w:spacing w:before="200" w:after="100" w:line="360" w:lineRule="auto"/>
        <w:jc w:val="left"/>
      </w:pPr>
      <w:bookmarkStart w:id="11" w:name="_Toc2147"/>
      <w:r>
        <w:rPr>
          <w:rFonts w:ascii="宋体" w:hAnsi="宋体" w:eastAsia="宋体" w:cs="宋体"/>
          <w:b/>
          <w:bCs/>
          <w:sz w:val="28"/>
          <w:szCs w:val="28"/>
        </w:rPr>
        <w:t>3.2 主成分分析（PCA）</w:t>
      </w:r>
      <w:bookmarkEnd w:id="11"/>
    </w:p>
    <w:p w14:paraId="29674CB9">
      <w:pPr>
        <w:spacing w:before="0" w:after="0" w:line="400" w:lineRule="auto"/>
        <w:ind w:firstLine="480"/>
        <w:jc w:val="both"/>
      </w:pPr>
      <w:r>
        <w:rPr>
          <w:rFonts w:ascii="宋体" w:hAnsi="宋体" w:eastAsia="宋体" w:cs="宋体"/>
          <w:sz w:val="24"/>
          <w:szCs w:val="24"/>
        </w:rPr>
        <w:t>为探究数据的内在结构，本研究对标准化后的特征进行了主成分分析。图3展示了各主成分的方差贡献率。结果显示，前5个主成分累计解释了90.2%的总方差，表明原始8维特征空间存在较强的信息冗余，数据具有可降维性。</w:t>
      </w:r>
    </w:p>
    <w:p w14:paraId="3D3D2047">
      <w:pPr>
        <w:spacing w:before="120" w:after="60"/>
        <w:jc w:val="center"/>
      </w:pPr>
      <w:r>
        <w:drawing>
          <wp:inline distT="0" distB="0" distL="0" distR="0">
            <wp:extent cx="3810000" cy="2476500"/>
            <wp:effectExtent l="0" t="0" r="0" b="0"/>
            <wp:docPr id="3" name="fig3_pca_variance.png" descr="图3  PCA方差解释率" title="图3  PCA方差解释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3_pca_variance.png" descr="图3  PCA方差解释率" title="图3  PCA方差解释率"/>
                    <pic:cNvPicPr>
                      <a:picLocks noChangeAspect="1" noChangeArrowheads="1"/>
                    </pic:cNvPicPr>
                  </pic:nvPicPr>
                  <pic:blipFill>
                    <a:blip r:embed="rId9"/>
                    <a:srcRect/>
                    <a:stretch>
                      <a:fillRect/>
                    </a:stretch>
                  </pic:blipFill>
                  <pic:spPr>
                    <a:xfrm>
                      <a:off x="0" y="0"/>
                      <a:ext cx="3810000" cy="2476500"/>
                    </a:xfrm>
                    <a:prstGeom prst="rect">
                      <a:avLst/>
                    </a:prstGeom>
                  </pic:spPr>
                </pic:pic>
              </a:graphicData>
            </a:graphic>
          </wp:inline>
        </w:drawing>
      </w:r>
    </w:p>
    <w:p w14:paraId="19B3F55F">
      <w:pPr>
        <w:spacing w:after="200"/>
        <w:jc w:val="center"/>
      </w:pPr>
      <w:r>
        <w:rPr>
          <w:rFonts w:ascii="宋体" w:hAnsi="宋体" w:eastAsia="宋体" w:cs="宋体"/>
          <w:color w:val="333333"/>
          <w:sz w:val="20"/>
          <w:szCs w:val="20"/>
        </w:rPr>
        <w:t>图3  PCA方差解释率</w:t>
      </w:r>
    </w:p>
    <w:p w14:paraId="0E4CA246">
      <w:pPr>
        <w:pStyle w:val="3"/>
        <w:spacing w:before="200" w:after="100" w:line="360" w:lineRule="auto"/>
        <w:jc w:val="left"/>
      </w:pPr>
      <w:bookmarkStart w:id="12" w:name="_Toc28571"/>
      <w:r>
        <w:rPr>
          <w:rFonts w:ascii="宋体" w:hAnsi="宋体" w:eastAsia="宋体" w:cs="宋体"/>
          <w:b/>
          <w:bCs/>
          <w:sz w:val="28"/>
          <w:szCs w:val="28"/>
        </w:rPr>
        <w:t>3.3 随机森林回归</w:t>
      </w:r>
      <w:bookmarkEnd w:id="12"/>
    </w:p>
    <w:p w14:paraId="1A95728C">
      <w:pPr>
        <w:spacing w:before="0" w:after="0" w:line="400" w:lineRule="auto"/>
        <w:ind w:firstLine="480"/>
        <w:jc w:val="both"/>
      </w:pPr>
      <w:r>
        <w:rPr>
          <w:rFonts w:ascii="宋体" w:hAnsi="宋体" w:eastAsia="宋体" w:cs="宋体"/>
          <w:sz w:val="24"/>
          <w:szCs w:val="24"/>
        </w:rPr>
        <w:t>随机森林（Random Forest）是一种基于Bagging策略的集成学习方法，通过构建多棵决策树并取其预测均值来降低方差、提升泛化能力。其核心思想是利用有放回抽样（Bootstrap）构建多个弱学习器，每棵树在分裂节点时仅从随机选取的特征子集中选择最优分裂。该方法对异常值和噪声具有较强的鲁棒性，且能自然地输出特征重要性排序。</w:t>
      </w:r>
    </w:p>
    <w:p w14:paraId="66B9DC00">
      <w:pPr>
        <w:pStyle w:val="3"/>
        <w:spacing w:before="200" w:after="100" w:line="360" w:lineRule="auto"/>
        <w:jc w:val="left"/>
      </w:pPr>
      <w:bookmarkStart w:id="13" w:name="_Toc15816"/>
      <w:r>
        <w:rPr>
          <w:rFonts w:ascii="宋体" w:hAnsi="宋体" w:eastAsia="宋体" w:cs="宋体"/>
          <w:b/>
          <w:bCs/>
          <w:sz w:val="28"/>
          <w:szCs w:val="28"/>
        </w:rPr>
        <w:t>3.4 支持向量机回归（SVR）</w:t>
      </w:r>
      <w:bookmarkEnd w:id="13"/>
    </w:p>
    <w:p w14:paraId="2D55583F">
      <w:pPr>
        <w:spacing w:before="0" w:after="0" w:line="400" w:lineRule="auto"/>
        <w:ind w:firstLine="480"/>
        <w:jc w:val="both"/>
      </w:pPr>
      <w:r>
        <w:rPr>
          <w:rFonts w:ascii="宋体" w:hAnsi="宋体" w:eastAsia="宋体" w:cs="宋体"/>
          <w:sz w:val="24"/>
          <w:szCs w:val="24"/>
        </w:rPr>
        <w:t>支持向量机回归（SVR）是SVM在回归问题上的扩展，其核心目标是找到一个函数，使得所有训练样本到该函数的偏差不超过ε，同时最小化模型的复杂度。本研究采用径向基核函数（RBF），通过核映射将低维空间的非线性关系转化为高维空间的线性问题。关键参数包括正则化参数C和不敏感损失参数ε。</w:t>
      </w:r>
    </w:p>
    <w:p w14:paraId="78D8F20F">
      <w:pPr>
        <w:pStyle w:val="3"/>
        <w:spacing w:before="200" w:after="100" w:line="360" w:lineRule="auto"/>
        <w:jc w:val="left"/>
      </w:pPr>
      <w:bookmarkStart w:id="14" w:name="_Toc4727"/>
      <w:r>
        <w:rPr>
          <w:rFonts w:ascii="宋体" w:hAnsi="宋体" w:eastAsia="宋体" w:cs="宋体"/>
          <w:b/>
          <w:bCs/>
          <w:sz w:val="28"/>
          <w:szCs w:val="28"/>
        </w:rPr>
        <w:t>3.5 模型评价指标</w:t>
      </w:r>
      <w:bookmarkEnd w:id="14"/>
    </w:p>
    <w:p w14:paraId="16F430D9">
      <w:pPr>
        <w:spacing w:before="0" w:after="0" w:line="400" w:lineRule="auto"/>
        <w:ind w:firstLine="480"/>
        <w:jc w:val="both"/>
      </w:pPr>
      <w:r>
        <w:rPr>
          <w:rFonts w:ascii="宋体" w:hAnsi="宋体" w:eastAsia="宋体" w:cs="宋体"/>
          <w:sz w:val="24"/>
          <w:szCs w:val="24"/>
        </w:rPr>
        <w:t>本研究采用以下四个指标评价模型性能：</w:t>
      </w:r>
    </w:p>
    <w:p w14:paraId="0C782CC7">
      <w:pPr>
        <w:spacing w:before="0" w:after="0" w:line="400" w:lineRule="auto"/>
        <w:ind w:firstLine="480"/>
        <w:jc w:val="both"/>
      </w:pPr>
      <w:r>
        <w:rPr>
          <w:rFonts w:ascii="宋体" w:hAnsi="宋体" w:eastAsia="宋体" w:cs="宋体"/>
          <w:sz w:val="24"/>
          <w:szCs w:val="24"/>
        </w:rPr>
        <w:t>（1）决定系数 R²：衡量模型对因变量方差的解释比例，取值越接近1越好；</w:t>
      </w:r>
    </w:p>
    <w:p w14:paraId="6F41A8B2">
      <w:pPr>
        <w:spacing w:before="0" w:after="0" w:line="400" w:lineRule="auto"/>
        <w:ind w:firstLine="480"/>
        <w:jc w:val="both"/>
      </w:pPr>
      <w:r>
        <w:rPr>
          <w:rFonts w:ascii="宋体" w:hAnsi="宋体" w:eastAsia="宋体" w:cs="宋体"/>
          <w:sz w:val="24"/>
          <w:szCs w:val="24"/>
        </w:rPr>
        <w:t>（2）均方根误差 RMSE：反映预测值与实际值偏差的平均幅度，单位与因变量一致；</w:t>
      </w:r>
    </w:p>
    <w:p w14:paraId="16889EB5">
      <w:pPr>
        <w:spacing w:before="0" w:after="0" w:line="400" w:lineRule="auto"/>
        <w:ind w:firstLine="480"/>
        <w:jc w:val="both"/>
      </w:pPr>
      <w:r>
        <w:rPr>
          <w:rFonts w:ascii="宋体" w:hAnsi="宋体" w:eastAsia="宋体" w:cs="宋体"/>
          <w:sz w:val="24"/>
          <w:szCs w:val="24"/>
        </w:rPr>
        <w:t>（3）平均绝对误差 MAE：度量预测值与实际值之间绝对误差的均值；</w:t>
      </w:r>
    </w:p>
    <w:p w14:paraId="42B3E21D">
      <w:pPr>
        <w:spacing w:before="0" w:after="0" w:line="400" w:lineRule="auto"/>
        <w:ind w:firstLine="480"/>
        <w:jc w:val="both"/>
      </w:pPr>
      <w:r>
        <w:rPr>
          <w:rFonts w:ascii="宋体" w:hAnsi="宋体" w:eastAsia="宋体" w:cs="宋体"/>
          <w:sz w:val="24"/>
          <w:szCs w:val="24"/>
        </w:rPr>
        <w:t>（4）均方误差 MSE：对较大误差施加更大惩罚，有助于识别极端偏差。</w:t>
      </w:r>
    </w:p>
    <w:p w14:paraId="2FAF9B24">
      <w:pPr>
        <w:pStyle w:val="2"/>
        <w:spacing w:before="240" w:after="120" w:line="360" w:lineRule="auto"/>
        <w:jc w:val="left"/>
      </w:pPr>
      <w:bookmarkStart w:id="15" w:name="_Toc14005"/>
      <w:r>
        <w:rPr>
          <w:rFonts w:ascii="宋体" w:hAnsi="宋体" w:eastAsia="宋体" w:cs="宋体"/>
          <w:b/>
          <w:bCs/>
          <w:sz w:val="32"/>
          <w:szCs w:val="32"/>
        </w:rPr>
        <w:t>四、实证分析结果</w:t>
      </w:r>
      <w:bookmarkEnd w:id="15"/>
    </w:p>
    <w:p w14:paraId="78BEDD9E">
      <w:pPr>
        <w:pStyle w:val="3"/>
        <w:spacing w:before="200" w:after="100" w:line="360" w:lineRule="auto"/>
        <w:jc w:val="left"/>
      </w:pPr>
      <w:bookmarkStart w:id="16" w:name="_Toc843"/>
      <w:r>
        <w:rPr>
          <w:rFonts w:ascii="宋体" w:hAnsi="宋体" w:eastAsia="宋体" w:cs="宋体"/>
          <w:b/>
          <w:bCs/>
          <w:sz w:val="28"/>
          <w:szCs w:val="28"/>
        </w:rPr>
        <w:t>4.1 基线模型性能</w:t>
      </w:r>
      <w:bookmarkEnd w:id="16"/>
    </w:p>
    <w:p w14:paraId="31F24A71">
      <w:pPr>
        <w:spacing w:before="0" w:after="0" w:line="400" w:lineRule="auto"/>
        <w:ind w:firstLine="480"/>
        <w:jc w:val="both"/>
      </w:pPr>
      <w:r>
        <w:rPr>
          <w:rFonts w:ascii="宋体" w:hAnsi="宋体" w:eastAsia="宋体" w:cs="宋体"/>
          <w:sz w:val="24"/>
          <w:szCs w:val="24"/>
        </w:rPr>
        <w:t>首先以默认参数训练两个模型。随机森林（100棵树）在测试集上的R²为0.8053，RMSE为0.5051万美元；SVR（C=10, ε=0.1, RBF核）的R²为0.7530，RMSE为0.5689万美元。随机森林在各项指标上均优于SVR，这可能得益于其集成多棵决策树有效降低了方差。</w:t>
      </w:r>
    </w:p>
    <w:p w14:paraId="7D47DE56">
      <w:pPr>
        <w:pStyle w:val="3"/>
        <w:spacing w:before="200" w:after="100" w:line="360" w:lineRule="auto"/>
        <w:jc w:val="left"/>
      </w:pPr>
      <w:bookmarkStart w:id="17" w:name="_Toc20743"/>
      <w:r>
        <w:rPr>
          <w:rFonts w:ascii="宋体" w:hAnsi="宋体" w:eastAsia="宋体" w:cs="宋体"/>
          <w:b/>
          <w:bCs/>
          <w:sz w:val="28"/>
          <w:szCs w:val="28"/>
        </w:rPr>
        <w:t>4.2 K折交叉验证与参数调优</w:t>
      </w:r>
      <w:bookmarkEnd w:id="17"/>
    </w:p>
    <w:p w14:paraId="58B908D0">
      <w:pPr>
        <w:spacing w:before="0" w:after="0" w:line="400" w:lineRule="auto"/>
        <w:ind w:firstLine="480"/>
        <w:jc w:val="both"/>
      </w:pPr>
      <w:r>
        <w:rPr>
          <w:rFonts w:ascii="宋体" w:hAnsi="宋体" w:eastAsia="宋体" w:cs="宋体"/>
          <w:sz w:val="24"/>
          <w:szCs w:val="24"/>
        </w:rPr>
        <w:t>为进一步提升模型性能并降低过拟合风险，本研究采用5折交叉验证结合网格搜索（GridSearchCV）对两个模型的关键参数进行系统调优。</w:t>
      </w:r>
    </w:p>
    <w:p w14:paraId="7F09D0E4">
      <w:pPr>
        <w:spacing w:before="0" w:after="0" w:line="400" w:lineRule="auto"/>
        <w:ind w:firstLine="480"/>
        <w:jc w:val="both"/>
      </w:pPr>
      <w:r>
        <w:rPr>
          <w:rFonts w:ascii="宋体" w:hAnsi="宋体" w:eastAsia="宋体" w:cs="宋体"/>
          <w:sz w:val="24"/>
          <w:szCs w:val="24"/>
        </w:rPr>
        <w:t>表2展示了最优参数组合及对应的交叉验证得分。随机森林的最优参数为：n_estimators=200、max_depth=30、min_samples_split=2，5折CV的R²为0.8058±0.0068。SVR的最优参数为：C=50、ε=0.1，5折CV的R²为0.7612±0.0135。</w:t>
      </w:r>
    </w:p>
    <w:p w14:paraId="6CE93E2A">
      <w:pPr>
        <w:spacing w:before="0" w:after="100" w:line="360" w:lineRule="auto"/>
        <w:jc w:val="both"/>
      </w:pPr>
    </w:p>
    <w:p w14:paraId="24BA2832">
      <w:pPr>
        <w:spacing w:before="0" w:after="100" w:line="360" w:lineRule="auto"/>
        <w:jc w:val="center"/>
      </w:pPr>
      <w:r>
        <w:rPr>
          <w:rFonts w:ascii="宋体" w:hAnsi="宋体" w:eastAsia="宋体" w:cs="宋体"/>
          <w:b/>
          <w:bCs/>
          <w:sz w:val="20"/>
          <w:szCs w:val="20"/>
        </w:rPr>
        <w:t>表2  最佳参数与交叉验证得分</w:t>
      </w:r>
    </w:p>
    <w:tbl>
      <w:tblPr>
        <w:tblStyle w:val="15"/>
        <w:tblW w:w="70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 w:type="dxa"/>
          <w:bottom w:w="0" w:type="dxa"/>
          <w:right w:w="10" w:type="dxa"/>
        </w:tblCellMar>
      </w:tblPr>
      <w:tblGrid>
        <w:gridCol w:w="1500"/>
        <w:gridCol w:w="2000"/>
        <w:gridCol w:w="1200"/>
        <w:gridCol w:w="2300"/>
      </w:tblGrid>
      <w:tr w14:paraId="7BC69D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500" w:type="dxa"/>
            <w:tcBorders>
              <w:top w:val="single" w:color="000000" w:sz="12" w:space="0"/>
              <w:left w:val="nil"/>
              <w:bottom w:val="single" w:color="000000" w:sz="4" w:space="0"/>
              <w:right w:val="nil"/>
            </w:tcBorders>
            <w:tcMar>
              <w:top w:w="80" w:type="dxa"/>
              <w:left w:w="120" w:type="dxa"/>
              <w:bottom w:w="80" w:type="dxa"/>
              <w:right w:w="120" w:type="dxa"/>
            </w:tcMar>
            <w:vAlign w:val="center"/>
          </w:tcPr>
          <w:p w14:paraId="0877262C">
            <w:pPr>
              <w:jc w:val="center"/>
            </w:pPr>
            <w:r>
              <w:rPr>
                <w:rFonts w:ascii="宋体" w:hAnsi="宋体" w:eastAsia="宋体" w:cs="宋体"/>
                <w:b/>
                <w:bCs/>
                <w:sz w:val="20"/>
                <w:szCs w:val="20"/>
              </w:rPr>
              <w:t>模型</w:t>
            </w:r>
          </w:p>
        </w:tc>
        <w:tc>
          <w:tcPr>
            <w:tcW w:w="2000" w:type="dxa"/>
            <w:tcBorders>
              <w:top w:val="single" w:color="000000" w:sz="12" w:space="0"/>
              <w:left w:val="nil"/>
              <w:bottom w:val="single" w:color="000000" w:sz="4" w:space="0"/>
              <w:right w:val="nil"/>
            </w:tcBorders>
            <w:tcMar>
              <w:top w:w="80" w:type="dxa"/>
              <w:left w:w="120" w:type="dxa"/>
              <w:bottom w:w="80" w:type="dxa"/>
              <w:right w:w="120" w:type="dxa"/>
            </w:tcMar>
            <w:vAlign w:val="center"/>
          </w:tcPr>
          <w:p w14:paraId="33E07A0A">
            <w:pPr>
              <w:jc w:val="center"/>
            </w:pPr>
            <w:r>
              <w:rPr>
                <w:rFonts w:ascii="宋体" w:hAnsi="宋体" w:eastAsia="宋体" w:cs="宋体"/>
                <w:b/>
                <w:bCs/>
                <w:sz w:val="20"/>
                <w:szCs w:val="20"/>
              </w:rPr>
              <w:t>参数</w:t>
            </w:r>
          </w:p>
        </w:tc>
        <w:tc>
          <w:tcPr>
            <w:tcW w:w="1200" w:type="dxa"/>
            <w:tcBorders>
              <w:top w:val="single" w:color="000000" w:sz="12" w:space="0"/>
              <w:left w:val="nil"/>
              <w:bottom w:val="single" w:color="000000" w:sz="4" w:space="0"/>
              <w:right w:val="nil"/>
            </w:tcBorders>
            <w:tcMar>
              <w:top w:w="80" w:type="dxa"/>
              <w:left w:w="120" w:type="dxa"/>
              <w:bottom w:w="80" w:type="dxa"/>
              <w:right w:w="120" w:type="dxa"/>
            </w:tcMar>
            <w:vAlign w:val="center"/>
          </w:tcPr>
          <w:p w14:paraId="2BF9779D">
            <w:pPr>
              <w:jc w:val="center"/>
            </w:pPr>
            <w:r>
              <w:rPr>
                <w:rFonts w:ascii="宋体" w:hAnsi="宋体" w:eastAsia="宋体" w:cs="宋体"/>
                <w:b/>
                <w:bCs/>
                <w:sz w:val="20"/>
                <w:szCs w:val="20"/>
              </w:rPr>
              <w:t>最佳值</w:t>
            </w:r>
          </w:p>
        </w:tc>
        <w:tc>
          <w:tcPr>
            <w:tcW w:w="2300" w:type="dxa"/>
            <w:tcBorders>
              <w:top w:val="single" w:color="000000" w:sz="12" w:space="0"/>
              <w:left w:val="nil"/>
              <w:bottom w:val="single" w:color="000000" w:sz="4" w:space="0"/>
              <w:right w:val="nil"/>
            </w:tcBorders>
            <w:tcMar>
              <w:top w:w="80" w:type="dxa"/>
              <w:left w:w="120" w:type="dxa"/>
              <w:bottom w:w="80" w:type="dxa"/>
              <w:right w:w="120" w:type="dxa"/>
            </w:tcMar>
            <w:vAlign w:val="center"/>
          </w:tcPr>
          <w:p w14:paraId="7E79E2E1">
            <w:pPr>
              <w:jc w:val="center"/>
            </w:pPr>
            <w:r>
              <w:rPr>
                <w:rFonts w:ascii="宋体" w:hAnsi="宋体" w:eastAsia="宋体" w:cs="宋体"/>
                <w:b/>
                <w:bCs/>
                <w:sz w:val="20"/>
                <w:szCs w:val="20"/>
              </w:rPr>
              <w:t>5折CV R²</w:t>
            </w:r>
          </w:p>
        </w:tc>
      </w:tr>
      <w:tr w14:paraId="28AD41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500" w:type="dxa"/>
            <w:tcBorders>
              <w:top w:val="nil"/>
              <w:left w:val="nil"/>
              <w:bottom w:val="nil"/>
              <w:right w:val="nil"/>
            </w:tcBorders>
            <w:tcMar>
              <w:top w:w="80" w:type="dxa"/>
              <w:left w:w="120" w:type="dxa"/>
              <w:bottom w:w="80" w:type="dxa"/>
              <w:right w:w="120" w:type="dxa"/>
            </w:tcMar>
            <w:vAlign w:val="center"/>
          </w:tcPr>
          <w:p w14:paraId="4E641C9F">
            <w:pPr>
              <w:jc w:val="center"/>
            </w:pPr>
            <w:r>
              <w:rPr>
                <w:rFonts w:ascii="宋体" w:hAnsi="宋体" w:eastAsia="宋体" w:cs="宋体"/>
                <w:b w:val="0"/>
                <w:bCs w:val="0"/>
                <w:sz w:val="20"/>
                <w:szCs w:val="20"/>
              </w:rPr>
              <w:t>随机森林</w:t>
            </w:r>
          </w:p>
        </w:tc>
        <w:tc>
          <w:tcPr>
            <w:tcW w:w="2000" w:type="dxa"/>
            <w:tcBorders>
              <w:top w:val="nil"/>
              <w:left w:val="nil"/>
              <w:bottom w:val="nil"/>
              <w:right w:val="nil"/>
            </w:tcBorders>
            <w:tcMar>
              <w:top w:w="80" w:type="dxa"/>
              <w:left w:w="120" w:type="dxa"/>
              <w:bottom w:w="80" w:type="dxa"/>
              <w:right w:w="120" w:type="dxa"/>
            </w:tcMar>
            <w:vAlign w:val="center"/>
          </w:tcPr>
          <w:p w14:paraId="193C0F57">
            <w:pPr>
              <w:jc w:val="center"/>
            </w:pPr>
            <w:r>
              <w:rPr>
                <w:rFonts w:ascii="宋体" w:hAnsi="宋体" w:eastAsia="宋体" w:cs="宋体"/>
                <w:b w:val="0"/>
                <w:bCs w:val="0"/>
                <w:sz w:val="20"/>
                <w:szCs w:val="20"/>
              </w:rPr>
              <w:t>n_estimators</w:t>
            </w:r>
          </w:p>
        </w:tc>
        <w:tc>
          <w:tcPr>
            <w:tcW w:w="1200" w:type="dxa"/>
            <w:tcBorders>
              <w:top w:val="nil"/>
              <w:left w:val="nil"/>
              <w:bottom w:val="nil"/>
              <w:right w:val="nil"/>
            </w:tcBorders>
            <w:tcMar>
              <w:top w:w="80" w:type="dxa"/>
              <w:left w:w="120" w:type="dxa"/>
              <w:bottom w:w="80" w:type="dxa"/>
              <w:right w:w="120" w:type="dxa"/>
            </w:tcMar>
            <w:vAlign w:val="center"/>
          </w:tcPr>
          <w:p w14:paraId="206D8FBC">
            <w:pPr>
              <w:jc w:val="center"/>
            </w:pPr>
            <w:r>
              <w:rPr>
                <w:rFonts w:ascii="宋体" w:hAnsi="宋体" w:eastAsia="宋体" w:cs="宋体"/>
                <w:b w:val="0"/>
                <w:bCs w:val="0"/>
                <w:sz w:val="20"/>
                <w:szCs w:val="20"/>
              </w:rPr>
              <w:t>200</w:t>
            </w:r>
          </w:p>
        </w:tc>
        <w:tc>
          <w:tcPr>
            <w:tcW w:w="2300" w:type="dxa"/>
            <w:tcBorders>
              <w:top w:val="nil"/>
              <w:left w:val="nil"/>
              <w:bottom w:val="nil"/>
              <w:right w:val="nil"/>
            </w:tcBorders>
            <w:tcMar>
              <w:top w:w="80" w:type="dxa"/>
              <w:left w:w="120" w:type="dxa"/>
              <w:bottom w:w="80" w:type="dxa"/>
              <w:right w:w="120" w:type="dxa"/>
            </w:tcMar>
            <w:vAlign w:val="center"/>
          </w:tcPr>
          <w:p w14:paraId="350C023E">
            <w:pPr>
              <w:jc w:val="center"/>
            </w:pPr>
            <w:r>
              <w:rPr>
                <w:rFonts w:ascii="宋体" w:hAnsi="宋体" w:eastAsia="宋体" w:cs="宋体"/>
                <w:b w:val="0"/>
                <w:bCs w:val="0"/>
                <w:sz w:val="20"/>
                <w:szCs w:val="20"/>
              </w:rPr>
              <w:t>0.8058 ± 0.0068</w:t>
            </w:r>
          </w:p>
        </w:tc>
      </w:tr>
      <w:tr w14:paraId="49801F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500" w:type="dxa"/>
            <w:tcBorders>
              <w:top w:val="nil"/>
              <w:left w:val="nil"/>
              <w:bottom w:val="nil"/>
              <w:right w:val="nil"/>
            </w:tcBorders>
            <w:tcMar>
              <w:top w:w="80" w:type="dxa"/>
              <w:left w:w="120" w:type="dxa"/>
              <w:bottom w:w="80" w:type="dxa"/>
              <w:right w:w="120" w:type="dxa"/>
            </w:tcMar>
            <w:vAlign w:val="center"/>
          </w:tcPr>
          <w:p w14:paraId="4B1F658F">
            <w:pPr>
              <w:jc w:val="center"/>
            </w:pPr>
            <w:r>
              <w:rPr>
                <w:rFonts w:ascii="宋体" w:hAnsi="宋体" w:eastAsia="宋体" w:cs="宋体"/>
                <w:b w:val="0"/>
                <w:bCs w:val="0"/>
                <w:sz w:val="20"/>
                <w:szCs w:val="20"/>
              </w:rPr>
              <w:t>随机森林</w:t>
            </w:r>
          </w:p>
        </w:tc>
        <w:tc>
          <w:tcPr>
            <w:tcW w:w="2000" w:type="dxa"/>
            <w:tcBorders>
              <w:top w:val="nil"/>
              <w:left w:val="nil"/>
              <w:bottom w:val="nil"/>
              <w:right w:val="nil"/>
            </w:tcBorders>
            <w:tcMar>
              <w:top w:w="80" w:type="dxa"/>
              <w:left w:w="120" w:type="dxa"/>
              <w:bottom w:w="80" w:type="dxa"/>
              <w:right w:w="120" w:type="dxa"/>
            </w:tcMar>
            <w:vAlign w:val="center"/>
          </w:tcPr>
          <w:p w14:paraId="2CEAAB1E">
            <w:pPr>
              <w:jc w:val="center"/>
            </w:pPr>
            <w:r>
              <w:rPr>
                <w:rFonts w:ascii="宋体" w:hAnsi="宋体" w:eastAsia="宋体" w:cs="宋体"/>
                <w:b w:val="0"/>
                <w:bCs w:val="0"/>
                <w:sz w:val="20"/>
                <w:szCs w:val="20"/>
              </w:rPr>
              <w:t>max_depth</w:t>
            </w:r>
          </w:p>
        </w:tc>
        <w:tc>
          <w:tcPr>
            <w:tcW w:w="1200" w:type="dxa"/>
            <w:tcBorders>
              <w:top w:val="nil"/>
              <w:left w:val="nil"/>
              <w:bottom w:val="nil"/>
              <w:right w:val="nil"/>
            </w:tcBorders>
            <w:tcMar>
              <w:top w:w="80" w:type="dxa"/>
              <w:left w:w="120" w:type="dxa"/>
              <w:bottom w:w="80" w:type="dxa"/>
              <w:right w:w="120" w:type="dxa"/>
            </w:tcMar>
            <w:vAlign w:val="center"/>
          </w:tcPr>
          <w:p w14:paraId="63202E74">
            <w:pPr>
              <w:jc w:val="center"/>
            </w:pPr>
            <w:r>
              <w:rPr>
                <w:rFonts w:ascii="宋体" w:hAnsi="宋体" w:eastAsia="宋体" w:cs="宋体"/>
                <w:b w:val="0"/>
                <w:bCs w:val="0"/>
                <w:sz w:val="20"/>
                <w:szCs w:val="20"/>
              </w:rPr>
              <w:t>30</w:t>
            </w:r>
          </w:p>
        </w:tc>
        <w:tc>
          <w:tcPr>
            <w:tcW w:w="2300" w:type="dxa"/>
            <w:tcBorders>
              <w:top w:val="nil"/>
              <w:left w:val="nil"/>
              <w:bottom w:val="nil"/>
              <w:right w:val="nil"/>
            </w:tcBorders>
            <w:tcMar>
              <w:top w:w="80" w:type="dxa"/>
              <w:left w:w="120" w:type="dxa"/>
              <w:bottom w:w="80" w:type="dxa"/>
              <w:right w:w="120" w:type="dxa"/>
            </w:tcMar>
            <w:vAlign w:val="center"/>
          </w:tcPr>
          <w:p w14:paraId="705E0AAC">
            <w:pPr>
              <w:jc w:val="center"/>
            </w:pPr>
          </w:p>
        </w:tc>
      </w:tr>
      <w:tr w14:paraId="0072D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500" w:type="dxa"/>
            <w:tcBorders>
              <w:top w:val="nil"/>
              <w:left w:val="nil"/>
              <w:bottom w:val="nil"/>
              <w:right w:val="nil"/>
            </w:tcBorders>
            <w:tcMar>
              <w:top w:w="80" w:type="dxa"/>
              <w:left w:w="120" w:type="dxa"/>
              <w:bottom w:w="80" w:type="dxa"/>
              <w:right w:w="120" w:type="dxa"/>
            </w:tcMar>
            <w:vAlign w:val="center"/>
          </w:tcPr>
          <w:p w14:paraId="528CDEA2">
            <w:pPr>
              <w:jc w:val="center"/>
            </w:pPr>
            <w:r>
              <w:rPr>
                <w:rFonts w:ascii="宋体" w:hAnsi="宋体" w:eastAsia="宋体" w:cs="宋体"/>
                <w:b w:val="0"/>
                <w:bCs w:val="0"/>
                <w:sz w:val="20"/>
                <w:szCs w:val="20"/>
              </w:rPr>
              <w:t>随机森林</w:t>
            </w:r>
          </w:p>
        </w:tc>
        <w:tc>
          <w:tcPr>
            <w:tcW w:w="2000" w:type="dxa"/>
            <w:tcBorders>
              <w:top w:val="nil"/>
              <w:left w:val="nil"/>
              <w:bottom w:val="nil"/>
              <w:right w:val="nil"/>
            </w:tcBorders>
            <w:tcMar>
              <w:top w:w="80" w:type="dxa"/>
              <w:left w:w="120" w:type="dxa"/>
              <w:bottom w:w="80" w:type="dxa"/>
              <w:right w:w="120" w:type="dxa"/>
            </w:tcMar>
            <w:vAlign w:val="center"/>
          </w:tcPr>
          <w:p w14:paraId="0EFCE738">
            <w:pPr>
              <w:jc w:val="center"/>
            </w:pPr>
            <w:r>
              <w:rPr>
                <w:rFonts w:ascii="宋体" w:hAnsi="宋体" w:eastAsia="宋体" w:cs="宋体"/>
                <w:b w:val="0"/>
                <w:bCs w:val="0"/>
                <w:sz w:val="20"/>
                <w:szCs w:val="20"/>
              </w:rPr>
              <w:t>min_samples_split</w:t>
            </w:r>
          </w:p>
        </w:tc>
        <w:tc>
          <w:tcPr>
            <w:tcW w:w="1200" w:type="dxa"/>
            <w:tcBorders>
              <w:top w:val="nil"/>
              <w:left w:val="nil"/>
              <w:bottom w:val="nil"/>
              <w:right w:val="nil"/>
            </w:tcBorders>
            <w:tcMar>
              <w:top w:w="80" w:type="dxa"/>
              <w:left w:w="120" w:type="dxa"/>
              <w:bottom w:w="80" w:type="dxa"/>
              <w:right w:w="120" w:type="dxa"/>
            </w:tcMar>
            <w:vAlign w:val="center"/>
          </w:tcPr>
          <w:p w14:paraId="56EBC24B">
            <w:pPr>
              <w:jc w:val="center"/>
            </w:pPr>
            <w:r>
              <w:rPr>
                <w:rFonts w:ascii="宋体" w:hAnsi="宋体" w:eastAsia="宋体" w:cs="宋体"/>
                <w:b w:val="0"/>
                <w:bCs w:val="0"/>
                <w:sz w:val="20"/>
                <w:szCs w:val="20"/>
              </w:rPr>
              <w:t>2</w:t>
            </w:r>
          </w:p>
        </w:tc>
        <w:tc>
          <w:tcPr>
            <w:tcW w:w="2300" w:type="dxa"/>
            <w:tcBorders>
              <w:top w:val="nil"/>
              <w:left w:val="nil"/>
              <w:bottom w:val="nil"/>
              <w:right w:val="nil"/>
            </w:tcBorders>
            <w:tcMar>
              <w:top w:w="80" w:type="dxa"/>
              <w:left w:w="120" w:type="dxa"/>
              <w:bottom w:w="80" w:type="dxa"/>
              <w:right w:w="120" w:type="dxa"/>
            </w:tcMar>
            <w:vAlign w:val="center"/>
          </w:tcPr>
          <w:p w14:paraId="26E0C72F">
            <w:pPr>
              <w:jc w:val="center"/>
            </w:pPr>
          </w:p>
        </w:tc>
      </w:tr>
      <w:tr w14:paraId="411286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500" w:type="dxa"/>
            <w:tcBorders>
              <w:top w:val="nil"/>
              <w:left w:val="nil"/>
              <w:bottom w:val="nil"/>
              <w:right w:val="nil"/>
            </w:tcBorders>
            <w:tcMar>
              <w:top w:w="80" w:type="dxa"/>
              <w:left w:w="120" w:type="dxa"/>
              <w:bottom w:w="80" w:type="dxa"/>
              <w:right w:w="120" w:type="dxa"/>
            </w:tcMar>
            <w:vAlign w:val="center"/>
          </w:tcPr>
          <w:p w14:paraId="0AB2DF4B">
            <w:pPr>
              <w:jc w:val="center"/>
            </w:pPr>
            <w:r>
              <w:rPr>
                <w:rFonts w:ascii="宋体" w:hAnsi="宋体" w:eastAsia="宋体" w:cs="宋体"/>
                <w:b w:val="0"/>
                <w:bCs w:val="0"/>
                <w:sz w:val="20"/>
                <w:szCs w:val="20"/>
              </w:rPr>
              <w:t>SVR</w:t>
            </w:r>
          </w:p>
        </w:tc>
        <w:tc>
          <w:tcPr>
            <w:tcW w:w="2000" w:type="dxa"/>
            <w:tcBorders>
              <w:top w:val="nil"/>
              <w:left w:val="nil"/>
              <w:bottom w:val="nil"/>
              <w:right w:val="nil"/>
            </w:tcBorders>
            <w:tcMar>
              <w:top w:w="80" w:type="dxa"/>
              <w:left w:w="120" w:type="dxa"/>
              <w:bottom w:w="80" w:type="dxa"/>
              <w:right w:w="120" w:type="dxa"/>
            </w:tcMar>
            <w:vAlign w:val="center"/>
          </w:tcPr>
          <w:p w14:paraId="567118D3">
            <w:pPr>
              <w:jc w:val="center"/>
            </w:pPr>
            <w:r>
              <w:rPr>
                <w:rFonts w:ascii="宋体" w:hAnsi="宋体" w:eastAsia="宋体" w:cs="宋体"/>
                <w:b w:val="0"/>
                <w:bCs w:val="0"/>
                <w:sz w:val="20"/>
                <w:szCs w:val="20"/>
              </w:rPr>
              <w:t>C</w:t>
            </w:r>
          </w:p>
        </w:tc>
        <w:tc>
          <w:tcPr>
            <w:tcW w:w="1200" w:type="dxa"/>
            <w:tcBorders>
              <w:top w:val="nil"/>
              <w:left w:val="nil"/>
              <w:bottom w:val="nil"/>
              <w:right w:val="nil"/>
            </w:tcBorders>
            <w:tcMar>
              <w:top w:w="80" w:type="dxa"/>
              <w:left w:w="120" w:type="dxa"/>
              <w:bottom w:w="80" w:type="dxa"/>
              <w:right w:w="120" w:type="dxa"/>
            </w:tcMar>
            <w:vAlign w:val="center"/>
          </w:tcPr>
          <w:p w14:paraId="4EBC04A2">
            <w:pPr>
              <w:jc w:val="center"/>
            </w:pPr>
            <w:r>
              <w:rPr>
                <w:rFonts w:ascii="宋体" w:hAnsi="宋体" w:eastAsia="宋体" w:cs="宋体"/>
                <w:b w:val="0"/>
                <w:bCs w:val="0"/>
                <w:sz w:val="20"/>
                <w:szCs w:val="20"/>
              </w:rPr>
              <w:t>50</w:t>
            </w:r>
          </w:p>
        </w:tc>
        <w:tc>
          <w:tcPr>
            <w:tcW w:w="2300" w:type="dxa"/>
            <w:tcBorders>
              <w:top w:val="nil"/>
              <w:left w:val="nil"/>
              <w:bottom w:val="nil"/>
              <w:right w:val="nil"/>
            </w:tcBorders>
            <w:tcMar>
              <w:top w:w="80" w:type="dxa"/>
              <w:left w:w="120" w:type="dxa"/>
              <w:bottom w:w="80" w:type="dxa"/>
              <w:right w:w="120" w:type="dxa"/>
            </w:tcMar>
            <w:vAlign w:val="center"/>
          </w:tcPr>
          <w:p w14:paraId="66A48668">
            <w:pPr>
              <w:jc w:val="center"/>
            </w:pPr>
            <w:r>
              <w:rPr>
                <w:rFonts w:ascii="宋体" w:hAnsi="宋体" w:eastAsia="宋体" w:cs="宋体"/>
                <w:b w:val="0"/>
                <w:bCs w:val="0"/>
                <w:sz w:val="20"/>
                <w:szCs w:val="20"/>
              </w:rPr>
              <w:t>0.7612 ± 0.0135</w:t>
            </w:r>
          </w:p>
        </w:tc>
      </w:tr>
      <w:tr w14:paraId="0082C7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500" w:type="dxa"/>
            <w:tcBorders>
              <w:top w:val="nil"/>
              <w:left w:val="nil"/>
              <w:bottom w:val="nil"/>
              <w:right w:val="nil"/>
            </w:tcBorders>
            <w:tcMar>
              <w:top w:w="80" w:type="dxa"/>
              <w:left w:w="120" w:type="dxa"/>
              <w:bottom w:w="80" w:type="dxa"/>
              <w:right w:w="120" w:type="dxa"/>
            </w:tcMar>
            <w:vAlign w:val="center"/>
          </w:tcPr>
          <w:p w14:paraId="77DD0BE1">
            <w:pPr>
              <w:jc w:val="center"/>
            </w:pPr>
            <w:r>
              <w:rPr>
                <w:rFonts w:ascii="宋体" w:hAnsi="宋体" w:eastAsia="宋体" w:cs="宋体"/>
                <w:b w:val="0"/>
                <w:bCs w:val="0"/>
                <w:sz w:val="20"/>
                <w:szCs w:val="20"/>
              </w:rPr>
              <w:t>SVR</w:t>
            </w:r>
          </w:p>
        </w:tc>
        <w:tc>
          <w:tcPr>
            <w:tcW w:w="2000" w:type="dxa"/>
            <w:tcBorders>
              <w:top w:val="nil"/>
              <w:left w:val="nil"/>
              <w:bottom w:val="nil"/>
              <w:right w:val="nil"/>
            </w:tcBorders>
            <w:tcMar>
              <w:top w:w="80" w:type="dxa"/>
              <w:left w:w="120" w:type="dxa"/>
              <w:bottom w:w="80" w:type="dxa"/>
              <w:right w:w="120" w:type="dxa"/>
            </w:tcMar>
            <w:vAlign w:val="center"/>
          </w:tcPr>
          <w:p w14:paraId="657FA5C8">
            <w:pPr>
              <w:jc w:val="center"/>
            </w:pPr>
            <w:r>
              <w:rPr>
                <w:rFonts w:ascii="宋体" w:hAnsi="宋体" w:eastAsia="宋体" w:cs="宋体"/>
                <w:b w:val="0"/>
                <w:bCs w:val="0"/>
                <w:sz w:val="20"/>
                <w:szCs w:val="20"/>
              </w:rPr>
              <w:t>epsilon</w:t>
            </w:r>
          </w:p>
        </w:tc>
        <w:tc>
          <w:tcPr>
            <w:tcW w:w="1200" w:type="dxa"/>
            <w:tcBorders>
              <w:top w:val="nil"/>
              <w:left w:val="nil"/>
              <w:bottom w:val="nil"/>
              <w:right w:val="nil"/>
            </w:tcBorders>
            <w:tcMar>
              <w:top w:w="80" w:type="dxa"/>
              <w:left w:w="120" w:type="dxa"/>
              <w:bottom w:w="80" w:type="dxa"/>
              <w:right w:w="120" w:type="dxa"/>
            </w:tcMar>
            <w:vAlign w:val="center"/>
          </w:tcPr>
          <w:p w14:paraId="6B171099">
            <w:pPr>
              <w:jc w:val="center"/>
            </w:pPr>
            <w:r>
              <w:rPr>
                <w:rFonts w:ascii="宋体" w:hAnsi="宋体" w:eastAsia="宋体" w:cs="宋体"/>
                <w:b w:val="0"/>
                <w:bCs w:val="0"/>
                <w:sz w:val="20"/>
                <w:szCs w:val="20"/>
              </w:rPr>
              <w:t>0.1</w:t>
            </w:r>
          </w:p>
        </w:tc>
        <w:tc>
          <w:tcPr>
            <w:tcW w:w="2300" w:type="dxa"/>
            <w:tcBorders>
              <w:top w:val="nil"/>
              <w:left w:val="nil"/>
              <w:bottom w:val="nil"/>
              <w:right w:val="nil"/>
            </w:tcBorders>
            <w:tcMar>
              <w:top w:w="80" w:type="dxa"/>
              <w:left w:w="120" w:type="dxa"/>
              <w:bottom w:w="80" w:type="dxa"/>
              <w:right w:w="120" w:type="dxa"/>
            </w:tcMar>
            <w:vAlign w:val="center"/>
          </w:tcPr>
          <w:p w14:paraId="720EEFB0">
            <w:pPr>
              <w:jc w:val="center"/>
            </w:pPr>
          </w:p>
        </w:tc>
      </w:tr>
      <w:tr w14:paraId="5AABD4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500" w:type="dxa"/>
            <w:tcBorders>
              <w:top w:val="nil"/>
              <w:left w:val="nil"/>
              <w:bottom w:val="single" w:color="000000" w:sz="12" w:space="0"/>
              <w:right w:val="nil"/>
            </w:tcBorders>
            <w:tcMar>
              <w:top w:w="80" w:type="dxa"/>
              <w:left w:w="120" w:type="dxa"/>
              <w:bottom w:w="80" w:type="dxa"/>
              <w:right w:w="120" w:type="dxa"/>
            </w:tcMar>
            <w:vAlign w:val="center"/>
          </w:tcPr>
          <w:p w14:paraId="5E5E41FA">
            <w:pPr>
              <w:jc w:val="center"/>
            </w:pPr>
            <w:r>
              <w:rPr>
                <w:rFonts w:ascii="宋体" w:hAnsi="宋体" w:eastAsia="宋体" w:cs="宋体"/>
                <w:b w:val="0"/>
                <w:bCs w:val="0"/>
                <w:sz w:val="20"/>
                <w:szCs w:val="20"/>
              </w:rPr>
              <w:t>SVR</w:t>
            </w:r>
          </w:p>
        </w:tc>
        <w:tc>
          <w:tcPr>
            <w:tcW w:w="2000" w:type="dxa"/>
            <w:tcBorders>
              <w:top w:val="nil"/>
              <w:left w:val="nil"/>
              <w:bottom w:val="single" w:color="000000" w:sz="12" w:space="0"/>
              <w:right w:val="nil"/>
            </w:tcBorders>
            <w:tcMar>
              <w:top w:w="80" w:type="dxa"/>
              <w:left w:w="120" w:type="dxa"/>
              <w:bottom w:w="80" w:type="dxa"/>
              <w:right w:w="120" w:type="dxa"/>
            </w:tcMar>
            <w:vAlign w:val="center"/>
          </w:tcPr>
          <w:p w14:paraId="57AEB7E7">
            <w:pPr>
              <w:jc w:val="center"/>
            </w:pPr>
            <w:r>
              <w:rPr>
                <w:rFonts w:ascii="宋体" w:hAnsi="宋体" w:eastAsia="宋体" w:cs="宋体"/>
                <w:b w:val="0"/>
                <w:bCs w:val="0"/>
                <w:sz w:val="20"/>
                <w:szCs w:val="20"/>
              </w:rPr>
              <w:t>kernel</w:t>
            </w:r>
          </w:p>
        </w:tc>
        <w:tc>
          <w:tcPr>
            <w:tcW w:w="1200" w:type="dxa"/>
            <w:tcBorders>
              <w:top w:val="nil"/>
              <w:left w:val="nil"/>
              <w:bottom w:val="single" w:color="000000" w:sz="12" w:space="0"/>
              <w:right w:val="nil"/>
            </w:tcBorders>
            <w:tcMar>
              <w:top w:w="80" w:type="dxa"/>
              <w:left w:w="120" w:type="dxa"/>
              <w:bottom w:w="80" w:type="dxa"/>
              <w:right w:w="120" w:type="dxa"/>
            </w:tcMar>
            <w:vAlign w:val="center"/>
          </w:tcPr>
          <w:p w14:paraId="633259D3">
            <w:pPr>
              <w:jc w:val="center"/>
            </w:pPr>
            <w:r>
              <w:rPr>
                <w:rFonts w:ascii="宋体" w:hAnsi="宋体" w:eastAsia="宋体" w:cs="宋体"/>
                <w:b w:val="0"/>
                <w:bCs w:val="0"/>
                <w:sz w:val="20"/>
                <w:szCs w:val="20"/>
              </w:rPr>
              <w:t>rbf</w:t>
            </w:r>
          </w:p>
        </w:tc>
        <w:tc>
          <w:tcPr>
            <w:tcW w:w="2300" w:type="dxa"/>
            <w:tcBorders>
              <w:top w:val="nil"/>
              <w:left w:val="nil"/>
              <w:bottom w:val="single" w:color="000000" w:sz="12" w:space="0"/>
              <w:right w:val="nil"/>
            </w:tcBorders>
            <w:tcMar>
              <w:top w:w="80" w:type="dxa"/>
              <w:left w:w="120" w:type="dxa"/>
              <w:bottom w:w="80" w:type="dxa"/>
              <w:right w:w="120" w:type="dxa"/>
            </w:tcMar>
            <w:vAlign w:val="center"/>
          </w:tcPr>
          <w:p w14:paraId="22A2F23E">
            <w:pPr>
              <w:jc w:val="center"/>
            </w:pPr>
          </w:p>
        </w:tc>
      </w:tr>
    </w:tbl>
    <w:p w14:paraId="54D1C863">
      <w:pPr>
        <w:spacing w:before="0" w:after="200" w:line="360" w:lineRule="auto"/>
        <w:jc w:val="both"/>
      </w:pPr>
    </w:p>
    <w:p w14:paraId="58445094">
      <w:pPr>
        <w:spacing w:before="0" w:after="0" w:line="400" w:lineRule="auto"/>
        <w:ind w:firstLine="480"/>
        <w:jc w:val="both"/>
      </w:pPr>
      <w:r>
        <w:rPr>
          <w:rFonts w:ascii="宋体" w:hAnsi="宋体" w:eastAsia="宋体" w:cs="宋体"/>
          <w:sz w:val="24"/>
          <w:szCs w:val="24"/>
        </w:rPr>
        <w:t>两个模型的交叉验证标准差均较小（&lt;0.015），说明模型在不同数据划分下表现稳定，泛化能力较好。</w:t>
      </w:r>
    </w:p>
    <w:p w14:paraId="0FBD01DB">
      <w:pPr>
        <w:pStyle w:val="3"/>
        <w:spacing w:before="200" w:after="100" w:line="360" w:lineRule="auto"/>
        <w:jc w:val="left"/>
      </w:pPr>
      <w:bookmarkStart w:id="18" w:name="_Toc28428"/>
      <w:r>
        <w:rPr>
          <w:rFonts w:ascii="宋体" w:hAnsi="宋体" w:eastAsia="宋体" w:cs="宋体"/>
          <w:b/>
          <w:bCs/>
          <w:sz w:val="28"/>
          <w:szCs w:val="28"/>
        </w:rPr>
        <w:t>4.3 调优后模型性能对比</w:t>
      </w:r>
      <w:bookmarkEnd w:id="18"/>
    </w:p>
    <w:p w14:paraId="02EF98EE">
      <w:pPr>
        <w:spacing w:before="0" w:after="0" w:line="400" w:lineRule="auto"/>
        <w:ind w:firstLine="480"/>
        <w:jc w:val="both"/>
      </w:pPr>
      <w:r>
        <w:rPr>
          <w:rFonts w:ascii="宋体" w:hAnsi="宋体" w:eastAsia="宋体" w:cs="宋体"/>
          <w:sz w:val="24"/>
          <w:szCs w:val="24"/>
        </w:rPr>
        <w:t>表3汇总了调优前后两个模型在测试集上的各项评价指标。可以看出：</w:t>
      </w:r>
    </w:p>
    <w:p w14:paraId="7BFB5D41">
      <w:pPr>
        <w:spacing w:before="0" w:after="0" w:line="400" w:lineRule="auto"/>
        <w:ind w:firstLine="480"/>
        <w:jc w:val="both"/>
      </w:pPr>
      <w:r>
        <w:rPr>
          <w:rFonts w:ascii="宋体" w:hAnsi="宋体" w:eastAsia="宋体" w:cs="宋体"/>
          <w:sz w:val="24"/>
          <w:szCs w:val="24"/>
        </w:rPr>
        <w:t>（1）参数调优对随机森林的提升较小（R²从0.8053提升至0.8057），说明默认参数已较为合理；</w:t>
      </w:r>
    </w:p>
    <w:p w14:paraId="2FB8CC54">
      <w:pPr>
        <w:spacing w:before="0" w:after="0" w:line="400" w:lineRule="auto"/>
        <w:ind w:firstLine="480"/>
        <w:jc w:val="both"/>
      </w:pPr>
      <w:r>
        <w:rPr>
          <w:rFonts w:ascii="宋体" w:hAnsi="宋体" w:eastAsia="宋体" w:cs="宋体"/>
          <w:sz w:val="24"/>
          <w:szCs w:val="24"/>
        </w:rPr>
        <w:t>（2）SVR经调优后R²从0.7530提升至0.7586，RMSE从0.5689降至0.5624，提升幅度更为明显；</w:t>
      </w:r>
    </w:p>
    <w:p w14:paraId="2CE02C92">
      <w:pPr>
        <w:spacing w:before="0" w:after="0" w:line="400" w:lineRule="auto"/>
        <w:ind w:firstLine="480"/>
        <w:jc w:val="both"/>
      </w:pPr>
      <w:r>
        <w:rPr>
          <w:rFonts w:ascii="宋体" w:hAnsi="宋体" w:eastAsia="宋体" w:cs="宋体"/>
          <w:sz w:val="24"/>
          <w:szCs w:val="24"/>
        </w:rPr>
        <w:t>（3）总体而言，随机森林在所有指标上均优于SVR，是本研究中更优的预测模型。</w:t>
      </w:r>
    </w:p>
    <w:p w14:paraId="20F9993E">
      <w:pPr>
        <w:spacing w:before="0" w:after="100" w:line="360" w:lineRule="auto"/>
        <w:jc w:val="both"/>
      </w:pPr>
    </w:p>
    <w:p w14:paraId="6FFC49EF">
      <w:pPr>
        <w:spacing w:before="0" w:after="100" w:line="360" w:lineRule="auto"/>
        <w:jc w:val="center"/>
      </w:pPr>
      <w:r>
        <w:rPr>
          <w:rFonts w:ascii="宋体" w:hAnsi="宋体" w:eastAsia="宋体" w:cs="宋体"/>
          <w:b/>
          <w:bCs/>
          <w:sz w:val="20"/>
          <w:szCs w:val="20"/>
        </w:rPr>
        <w:t>表3  模型性能对比</w:t>
      </w:r>
    </w:p>
    <w:tbl>
      <w:tblPr>
        <w:tblStyle w:val="15"/>
        <w:tblW w:w="70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 w:type="dxa"/>
          <w:bottom w:w="0" w:type="dxa"/>
          <w:right w:w="10" w:type="dxa"/>
        </w:tblCellMar>
      </w:tblPr>
      <w:tblGrid>
        <w:gridCol w:w="2200"/>
        <w:gridCol w:w="1200"/>
        <w:gridCol w:w="1200"/>
        <w:gridCol w:w="1200"/>
        <w:gridCol w:w="1200"/>
      </w:tblGrid>
      <w:tr w14:paraId="26ED1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2200" w:type="dxa"/>
            <w:tcBorders>
              <w:top w:val="single" w:color="000000" w:sz="12" w:space="0"/>
              <w:left w:val="nil"/>
              <w:bottom w:val="single" w:color="000000" w:sz="4" w:space="0"/>
              <w:right w:val="nil"/>
            </w:tcBorders>
            <w:tcMar>
              <w:top w:w="80" w:type="dxa"/>
              <w:left w:w="120" w:type="dxa"/>
              <w:bottom w:w="80" w:type="dxa"/>
              <w:right w:w="120" w:type="dxa"/>
            </w:tcMar>
            <w:vAlign w:val="center"/>
          </w:tcPr>
          <w:p w14:paraId="3E78CEC8">
            <w:pPr>
              <w:jc w:val="left"/>
            </w:pPr>
            <w:r>
              <w:rPr>
                <w:rFonts w:ascii="宋体" w:hAnsi="宋体" w:eastAsia="宋体" w:cs="宋体"/>
                <w:b/>
                <w:bCs/>
                <w:sz w:val="20"/>
                <w:szCs w:val="20"/>
              </w:rPr>
              <w:t>模型</w:t>
            </w:r>
          </w:p>
        </w:tc>
        <w:tc>
          <w:tcPr>
            <w:tcW w:w="1200" w:type="dxa"/>
            <w:tcBorders>
              <w:top w:val="single" w:color="000000" w:sz="12" w:space="0"/>
              <w:left w:val="nil"/>
              <w:bottom w:val="single" w:color="000000" w:sz="4" w:space="0"/>
              <w:right w:val="nil"/>
            </w:tcBorders>
            <w:tcMar>
              <w:top w:w="80" w:type="dxa"/>
              <w:left w:w="120" w:type="dxa"/>
              <w:bottom w:w="80" w:type="dxa"/>
              <w:right w:w="120" w:type="dxa"/>
            </w:tcMar>
            <w:vAlign w:val="center"/>
          </w:tcPr>
          <w:p w14:paraId="65983F40">
            <w:pPr>
              <w:jc w:val="center"/>
            </w:pPr>
            <w:r>
              <w:rPr>
                <w:rFonts w:ascii="宋体" w:hAnsi="宋体" w:eastAsia="宋体" w:cs="宋体"/>
                <w:b/>
                <w:bCs/>
                <w:sz w:val="20"/>
                <w:szCs w:val="20"/>
              </w:rPr>
              <w:t>R²</w:t>
            </w:r>
          </w:p>
        </w:tc>
        <w:tc>
          <w:tcPr>
            <w:tcW w:w="1200" w:type="dxa"/>
            <w:tcBorders>
              <w:top w:val="single" w:color="000000" w:sz="12" w:space="0"/>
              <w:left w:val="nil"/>
              <w:bottom w:val="single" w:color="000000" w:sz="4" w:space="0"/>
              <w:right w:val="nil"/>
            </w:tcBorders>
            <w:tcMar>
              <w:top w:w="80" w:type="dxa"/>
              <w:left w:w="120" w:type="dxa"/>
              <w:bottom w:w="80" w:type="dxa"/>
              <w:right w:w="120" w:type="dxa"/>
            </w:tcMar>
            <w:vAlign w:val="center"/>
          </w:tcPr>
          <w:p w14:paraId="4172CB06">
            <w:pPr>
              <w:jc w:val="center"/>
            </w:pPr>
            <w:r>
              <w:rPr>
                <w:rFonts w:ascii="宋体" w:hAnsi="宋体" w:eastAsia="宋体" w:cs="宋体"/>
                <w:b/>
                <w:bCs/>
                <w:sz w:val="20"/>
                <w:szCs w:val="20"/>
              </w:rPr>
              <w:t>RMSE</w:t>
            </w:r>
          </w:p>
        </w:tc>
        <w:tc>
          <w:tcPr>
            <w:tcW w:w="1200" w:type="dxa"/>
            <w:tcBorders>
              <w:top w:val="single" w:color="000000" w:sz="12" w:space="0"/>
              <w:left w:val="nil"/>
              <w:bottom w:val="single" w:color="000000" w:sz="4" w:space="0"/>
              <w:right w:val="nil"/>
            </w:tcBorders>
            <w:tcMar>
              <w:top w:w="80" w:type="dxa"/>
              <w:left w:w="120" w:type="dxa"/>
              <w:bottom w:w="80" w:type="dxa"/>
              <w:right w:w="120" w:type="dxa"/>
            </w:tcMar>
            <w:vAlign w:val="center"/>
          </w:tcPr>
          <w:p w14:paraId="5183D9EE">
            <w:pPr>
              <w:jc w:val="center"/>
            </w:pPr>
            <w:r>
              <w:rPr>
                <w:rFonts w:ascii="宋体" w:hAnsi="宋体" w:eastAsia="宋体" w:cs="宋体"/>
                <w:b/>
                <w:bCs/>
                <w:sz w:val="20"/>
                <w:szCs w:val="20"/>
              </w:rPr>
              <w:t>MAE</w:t>
            </w:r>
          </w:p>
        </w:tc>
        <w:tc>
          <w:tcPr>
            <w:tcW w:w="1200" w:type="dxa"/>
            <w:tcBorders>
              <w:top w:val="single" w:color="000000" w:sz="12" w:space="0"/>
              <w:left w:val="nil"/>
              <w:bottom w:val="single" w:color="000000" w:sz="4" w:space="0"/>
              <w:right w:val="nil"/>
            </w:tcBorders>
            <w:tcMar>
              <w:top w:w="80" w:type="dxa"/>
              <w:left w:w="120" w:type="dxa"/>
              <w:bottom w:w="80" w:type="dxa"/>
              <w:right w:w="120" w:type="dxa"/>
            </w:tcMar>
            <w:vAlign w:val="center"/>
          </w:tcPr>
          <w:p w14:paraId="10A7C3F7">
            <w:pPr>
              <w:jc w:val="center"/>
            </w:pPr>
            <w:r>
              <w:rPr>
                <w:rFonts w:ascii="宋体" w:hAnsi="宋体" w:eastAsia="宋体" w:cs="宋体"/>
                <w:b/>
                <w:bCs/>
                <w:sz w:val="20"/>
                <w:szCs w:val="20"/>
              </w:rPr>
              <w:t>MSE</w:t>
            </w:r>
          </w:p>
        </w:tc>
      </w:tr>
      <w:tr w14:paraId="327B41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2200" w:type="dxa"/>
            <w:tcBorders>
              <w:top w:val="nil"/>
              <w:left w:val="nil"/>
              <w:bottom w:val="nil"/>
              <w:right w:val="nil"/>
            </w:tcBorders>
            <w:tcMar>
              <w:top w:w="80" w:type="dxa"/>
              <w:left w:w="120" w:type="dxa"/>
              <w:bottom w:w="80" w:type="dxa"/>
              <w:right w:w="120" w:type="dxa"/>
            </w:tcMar>
            <w:vAlign w:val="center"/>
          </w:tcPr>
          <w:p w14:paraId="1A96D5B3">
            <w:pPr>
              <w:jc w:val="left"/>
            </w:pPr>
            <w:r>
              <w:rPr>
                <w:rFonts w:ascii="宋体" w:hAnsi="宋体" w:eastAsia="宋体" w:cs="宋体"/>
                <w:b w:val="0"/>
                <w:bCs w:val="0"/>
                <w:sz w:val="20"/>
                <w:szCs w:val="20"/>
              </w:rPr>
              <w:t>随机森林（基线）</w:t>
            </w:r>
          </w:p>
        </w:tc>
        <w:tc>
          <w:tcPr>
            <w:tcW w:w="1200" w:type="dxa"/>
            <w:tcBorders>
              <w:top w:val="nil"/>
              <w:left w:val="nil"/>
              <w:bottom w:val="nil"/>
              <w:right w:val="nil"/>
            </w:tcBorders>
            <w:tcMar>
              <w:top w:w="80" w:type="dxa"/>
              <w:left w:w="120" w:type="dxa"/>
              <w:bottom w:w="80" w:type="dxa"/>
              <w:right w:w="120" w:type="dxa"/>
            </w:tcMar>
            <w:vAlign w:val="center"/>
          </w:tcPr>
          <w:p w14:paraId="2BFAAEB4">
            <w:pPr>
              <w:jc w:val="center"/>
            </w:pPr>
            <w:r>
              <w:rPr>
                <w:rFonts w:ascii="宋体" w:hAnsi="宋体" w:eastAsia="宋体" w:cs="宋体"/>
                <w:b w:val="0"/>
                <w:bCs w:val="0"/>
                <w:sz w:val="20"/>
                <w:szCs w:val="20"/>
              </w:rPr>
              <w:t>0.8053</w:t>
            </w:r>
          </w:p>
        </w:tc>
        <w:tc>
          <w:tcPr>
            <w:tcW w:w="1200" w:type="dxa"/>
            <w:tcBorders>
              <w:top w:val="nil"/>
              <w:left w:val="nil"/>
              <w:bottom w:val="nil"/>
              <w:right w:val="nil"/>
            </w:tcBorders>
            <w:tcMar>
              <w:top w:w="80" w:type="dxa"/>
              <w:left w:w="120" w:type="dxa"/>
              <w:bottom w:w="80" w:type="dxa"/>
              <w:right w:w="120" w:type="dxa"/>
            </w:tcMar>
            <w:vAlign w:val="center"/>
          </w:tcPr>
          <w:p w14:paraId="54E74478">
            <w:pPr>
              <w:jc w:val="center"/>
            </w:pPr>
            <w:r>
              <w:rPr>
                <w:rFonts w:ascii="宋体" w:hAnsi="宋体" w:eastAsia="宋体" w:cs="宋体"/>
                <w:b w:val="0"/>
                <w:bCs w:val="0"/>
                <w:sz w:val="20"/>
                <w:szCs w:val="20"/>
              </w:rPr>
              <w:t>0.5051</w:t>
            </w:r>
          </w:p>
        </w:tc>
        <w:tc>
          <w:tcPr>
            <w:tcW w:w="1200" w:type="dxa"/>
            <w:tcBorders>
              <w:top w:val="nil"/>
              <w:left w:val="nil"/>
              <w:bottom w:val="nil"/>
              <w:right w:val="nil"/>
            </w:tcBorders>
            <w:tcMar>
              <w:top w:w="80" w:type="dxa"/>
              <w:left w:w="120" w:type="dxa"/>
              <w:bottom w:w="80" w:type="dxa"/>
              <w:right w:w="120" w:type="dxa"/>
            </w:tcMar>
            <w:vAlign w:val="center"/>
          </w:tcPr>
          <w:p w14:paraId="01195536">
            <w:pPr>
              <w:jc w:val="center"/>
            </w:pPr>
            <w:r>
              <w:rPr>
                <w:rFonts w:ascii="宋体" w:hAnsi="宋体" w:eastAsia="宋体" w:cs="宋体"/>
                <w:b w:val="0"/>
                <w:bCs w:val="0"/>
                <w:sz w:val="20"/>
                <w:szCs w:val="20"/>
              </w:rPr>
              <w:t>0.3274</w:t>
            </w:r>
          </w:p>
        </w:tc>
        <w:tc>
          <w:tcPr>
            <w:tcW w:w="1200" w:type="dxa"/>
            <w:tcBorders>
              <w:top w:val="nil"/>
              <w:left w:val="nil"/>
              <w:bottom w:val="nil"/>
              <w:right w:val="nil"/>
            </w:tcBorders>
            <w:tcMar>
              <w:top w:w="80" w:type="dxa"/>
              <w:left w:w="120" w:type="dxa"/>
              <w:bottom w:w="80" w:type="dxa"/>
              <w:right w:w="120" w:type="dxa"/>
            </w:tcMar>
            <w:vAlign w:val="center"/>
          </w:tcPr>
          <w:p w14:paraId="449163F6">
            <w:pPr>
              <w:jc w:val="center"/>
            </w:pPr>
            <w:r>
              <w:rPr>
                <w:rFonts w:ascii="宋体" w:hAnsi="宋体" w:eastAsia="宋体" w:cs="宋体"/>
                <w:b w:val="0"/>
                <w:bCs w:val="0"/>
                <w:sz w:val="20"/>
                <w:szCs w:val="20"/>
              </w:rPr>
              <w:t>0.2552</w:t>
            </w:r>
          </w:p>
        </w:tc>
      </w:tr>
      <w:tr w14:paraId="466EEA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2200" w:type="dxa"/>
            <w:tcBorders>
              <w:top w:val="nil"/>
              <w:left w:val="nil"/>
              <w:bottom w:val="nil"/>
              <w:right w:val="nil"/>
            </w:tcBorders>
            <w:tcMar>
              <w:top w:w="80" w:type="dxa"/>
              <w:left w:w="120" w:type="dxa"/>
              <w:bottom w:w="80" w:type="dxa"/>
              <w:right w:w="120" w:type="dxa"/>
            </w:tcMar>
            <w:vAlign w:val="center"/>
          </w:tcPr>
          <w:p w14:paraId="1FC912B5">
            <w:pPr>
              <w:jc w:val="left"/>
            </w:pPr>
            <w:r>
              <w:rPr>
                <w:rFonts w:ascii="宋体" w:hAnsi="宋体" w:eastAsia="宋体" w:cs="宋体"/>
                <w:b w:val="0"/>
                <w:bCs w:val="0"/>
                <w:sz w:val="20"/>
                <w:szCs w:val="20"/>
              </w:rPr>
              <w:t>随机森林（调优后）</w:t>
            </w:r>
          </w:p>
        </w:tc>
        <w:tc>
          <w:tcPr>
            <w:tcW w:w="1200" w:type="dxa"/>
            <w:tcBorders>
              <w:top w:val="nil"/>
              <w:left w:val="nil"/>
              <w:bottom w:val="nil"/>
              <w:right w:val="nil"/>
            </w:tcBorders>
            <w:tcMar>
              <w:top w:w="80" w:type="dxa"/>
              <w:left w:w="120" w:type="dxa"/>
              <w:bottom w:w="80" w:type="dxa"/>
              <w:right w:w="120" w:type="dxa"/>
            </w:tcMar>
            <w:vAlign w:val="center"/>
          </w:tcPr>
          <w:p w14:paraId="5DD288C0">
            <w:pPr>
              <w:jc w:val="center"/>
            </w:pPr>
            <w:r>
              <w:rPr>
                <w:rFonts w:ascii="宋体" w:hAnsi="宋体" w:eastAsia="宋体" w:cs="宋体"/>
                <w:b w:val="0"/>
                <w:bCs w:val="0"/>
                <w:sz w:val="20"/>
                <w:szCs w:val="20"/>
              </w:rPr>
              <w:t>0.8057</w:t>
            </w:r>
          </w:p>
        </w:tc>
        <w:tc>
          <w:tcPr>
            <w:tcW w:w="1200" w:type="dxa"/>
            <w:tcBorders>
              <w:top w:val="nil"/>
              <w:left w:val="nil"/>
              <w:bottom w:val="nil"/>
              <w:right w:val="nil"/>
            </w:tcBorders>
            <w:tcMar>
              <w:top w:w="80" w:type="dxa"/>
              <w:left w:w="120" w:type="dxa"/>
              <w:bottom w:w="80" w:type="dxa"/>
              <w:right w:w="120" w:type="dxa"/>
            </w:tcMar>
            <w:vAlign w:val="center"/>
          </w:tcPr>
          <w:p w14:paraId="669FCCED">
            <w:pPr>
              <w:jc w:val="center"/>
            </w:pPr>
            <w:r>
              <w:rPr>
                <w:rFonts w:ascii="宋体" w:hAnsi="宋体" w:eastAsia="宋体" w:cs="宋体"/>
                <w:b w:val="0"/>
                <w:bCs w:val="0"/>
                <w:sz w:val="20"/>
                <w:szCs w:val="20"/>
              </w:rPr>
              <w:t>0.5046</w:t>
            </w:r>
          </w:p>
        </w:tc>
        <w:tc>
          <w:tcPr>
            <w:tcW w:w="1200" w:type="dxa"/>
            <w:tcBorders>
              <w:top w:val="nil"/>
              <w:left w:val="nil"/>
              <w:bottom w:val="nil"/>
              <w:right w:val="nil"/>
            </w:tcBorders>
            <w:tcMar>
              <w:top w:w="80" w:type="dxa"/>
              <w:left w:w="120" w:type="dxa"/>
              <w:bottom w:w="80" w:type="dxa"/>
              <w:right w:w="120" w:type="dxa"/>
            </w:tcMar>
            <w:vAlign w:val="center"/>
          </w:tcPr>
          <w:p w14:paraId="230F4918">
            <w:pPr>
              <w:jc w:val="center"/>
            </w:pPr>
            <w:r>
              <w:rPr>
                <w:rFonts w:ascii="宋体" w:hAnsi="宋体" w:eastAsia="宋体" w:cs="宋体"/>
                <w:b w:val="0"/>
                <w:bCs w:val="0"/>
                <w:sz w:val="20"/>
                <w:szCs w:val="20"/>
              </w:rPr>
              <w:t>0.3270</w:t>
            </w:r>
          </w:p>
        </w:tc>
        <w:tc>
          <w:tcPr>
            <w:tcW w:w="1200" w:type="dxa"/>
            <w:tcBorders>
              <w:top w:val="nil"/>
              <w:left w:val="nil"/>
              <w:bottom w:val="nil"/>
              <w:right w:val="nil"/>
            </w:tcBorders>
            <w:tcMar>
              <w:top w:w="80" w:type="dxa"/>
              <w:left w:w="120" w:type="dxa"/>
              <w:bottom w:w="80" w:type="dxa"/>
              <w:right w:w="120" w:type="dxa"/>
            </w:tcMar>
            <w:vAlign w:val="center"/>
          </w:tcPr>
          <w:p w14:paraId="0C34FFDD">
            <w:pPr>
              <w:jc w:val="center"/>
            </w:pPr>
            <w:r>
              <w:rPr>
                <w:rFonts w:ascii="宋体" w:hAnsi="宋体" w:eastAsia="宋体" w:cs="宋体"/>
                <w:b w:val="0"/>
                <w:bCs w:val="0"/>
                <w:sz w:val="20"/>
                <w:szCs w:val="20"/>
              </w:rPr>
              <w:t>0.2547</w:t>
            </w:r>
          </w:p>
        </w:tc>
      </w:tr>
      <w:tr w14:paraId="62E5ED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2200" w:type="dxa"/>
            <w:tcBorders>
              <w:top w:val="nil"/>
              <w:left w:val="nil"/>
              <w:bottom w:val="nil"/>
              <w:right w:val="nil"/>
            </w:tcBorders>
            <w:tcMar>
              <w:top w:w="80" w:type="dxa"/>
              <w:left w:w="120" w:type="dxa"/>
              <w:bottom w:w="80" w:type="dxa"/>
              <w:right w:w="120" w:type="dxa"/>
            </w:tcMar>
            <w:vAlign w:val="center"/>
          </w:tcPr>
          <w:p w14:paraId="273C6BA8">
            <w:pPr>
              <w:jc w:val="left"/>
            </w:pPr>
            <w:r>
              <w:rPr>
                <w:rFonts w:ascii="宋体" w:hAnsi="宋体" w:eastAsia="宋体" w:cs="宋体"/>
                <w:b w:val="0"/>
                <w:bCs w:val="0"/>
                <w:sz w:val="20"/>
                <w:szCs w:val="20"/>
              </w:rPr>
              <w:t>SVR（基线）</w:t>
            </w:r>
          </w:p>
        </w:tc>
        <w:tc>
          <w:tcPr>
            <w:tcW w:w="1200" w:type="dxa"/>
            <w:tcBorders>
              <w:top w:val="nil"/>
              <w:left w:val="nil"/>
              <w:bottom w:val="nil"/>
              <w:right w:val="nil"/>
            </w:tcBorders>
            <w:tcMar>
              <w:top w:w="80" w:type="dxa"/>
              <w:left w:w="120" w:type="dxa"/>
              <w:bottom w:w="80" w:type="dxa"/>
              <w:right w:w="120" w:type="dxa"/>
            </w:tcMar>
            <w:vAlign w:val="center"/>
          </w:tcPr>
          <w:p w14:paraId="0D75B2E0">
            <w:pPr>
              <w:jc w:val="center"/>
            </w:pPr>
            <w:r>
              <w:rPr>
                <w:rFonts w:ascii="宋体" w:hAnsi="宋体" w:eastAsia="宋体" w:cs="宋体"/>
                <w:b w:val="0"/>
                <w:bCs w:val="0"/>
                <w:sz w:val="20"/>
                <w:szCs w:val="20"/>
              </w:rPr>
              <w:t>0.7530</w:t>
            </w:r>
          </w:p>
        </w:tc>
        <w:tc>
          <w:tcPr>
            <w:tcW w:w="1200" w:type="dxa"/>
            <w:tcBorders>
              <w:top w:val="nil"/>
              <w:left w:val="nil"/>
              <w:bottom w:val="nil"/>
              <w:right w:val="nil"/>
            </w:tcBorders>
            <w:tcMar>
              <w:top w:w="80" w:type="dxa"/>
              <w:left w:w="120" w:type="dxa"/>
              <w:bottom w:w="80" w:type="dxa"/>
              <w:right w:w="120" w:type="dxa"/>
            </w:tcMar>
            <w:vAlign w:val="center"/>
          </w:tcPr>
          <w:p w14:paraId="595830A0">
            <w:pPr>
              <w:jc w:val="center"/>
            </w:pPr>
            <w:r>
              <w:rPr>
                <w:rFonts w:ascii="宋体" w:hAnsi="宋体" w:eastAsia="宋体" w:cs="宋体"/>
                <w:b w:val="0"/>
                <w:bCs w:val="0"/>
                <w:sz w:val="20"/>
                <w:szCs w:val="20"/>
              </w:rPr>
              <w:t>0.5689</w:t>
            </w:r>
          </w:p>
        </w:tc>
        <w:tc>
          <w:tcPr>
            <w:tcW w:w="1200" w:type="dxa"/>
            <w:tcBorders>
              <w:top w:val="nil"/>
              <w:left w:val="nil"/>
              <w:bottom w:val="nil"/>
              <w:right w:val="nil"/>
            </w:tcBorders>
            <w:tcMar>
              <w:top w:w="80" w:type="dxa"/>
              <w:left w:w="120" w:type="dxa"/>
              <w:bottom w:w="80" w:type="dxa"/>
              <w:right w:w="120" w:type="dxa"/>
            </w:tcMar>
            <w:vAlign w:val="center"/>
          </w:tcPr>
          <w:p w14:paraId="1DA05C73">
            <w:pPr>
              <w:jc w:val="center"/>
            </w:pPr>
            <w:r>
              <w:rPr>
                <w:rFonts w:ascii="宋体" w:hAnsi="宋体" w:eastAsia="宋体" w:cs="宋体"/>
                <w:b w:val="0"/>
                <w:bCs w:val="0"/>
                <w:sz w:val="20"/>
                <w:szCs w:val="20"/>
              </w:rPr>
              <w:t>0.3774</w:t>
            </w:r>
          </w:p>
        </w:tc>
        <w:tc>
          <w:tcPr>
            <w:tcW w:w="1200" w:type="dxa"/>
            <w:tcBorders>
              <w:top w:val="nil"/>
              <w:left w:val="nil"/>
              <w:bottom w:val="nil"/>
              <w:right w:val="nil"/>
            </w:tcBorders>
            <w:tcMar>
              <w:top w:w="80" w:type="dxa"/>
              <w:left w:w="120" w:type="dxa"/>
              <w:bottom w:w="80" w:type="dxa"/>
              <w:right w:w="120" w:type="dxa"/>
            </w:tcMar>
            <w:vAlign w:val="center"/>
          </w:tcPr>
          <w:p w14:paraId="6D7997A7">
            <w:pPr>
              <w:jc w:val="center"/>
            </w:pPr>
            <w:r>
              <w:rPr>
                <w:rFonts w:ascii="宋体" w:hAnsi="宋体" w:eastAsia="宋体" w:cs="宋体"/>
                <w:b w:val="0"/>
                <w:bCs w:val="0"/>
                <w:sz w:val="20"/>
                <w:szCs w:val="20"/>
              </w:rPr>
              <w:t>0.3237</w:t>
            </w:r>
          </w:p>
        </w:tc>
      </w:tr>
      <w:tr w14:paraId="3C8EAB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2200" w:type="dxa"/>
            <w:tcBorders>
              <w:top w:val="nil"/>
              <w:left w:val="nil"/>
              <w:bottom w:val="single" w:color="000000" w:sz="12" w:space="0"/>
              <w:right w:val="nil"/>
            </w:tcBorders>
            <w:tcMar>
              <w:top w:w="80" w:type="dxa"/>
              <w:left w:w="120" w:type="dxa"/>
              <w:bottom w:w="80" w:type="dxa"/>
              <w:right w:w="120" w:type="dxa"/>
            </w:tcMar>
            <w:vAlign w:val="center"/>
          </w:tcPr>
          <w:p w14:paraId="27640117">
            <w:pPr>
              <w:jc w:val="left"/>
            </w:pPr>
            <w:r>
              <w:rPr>
                <w:rFonts w:ascii="宋体" w:hAnsi="宋体" w:eastAsia="宋体" w:cs="宋体"/>
                <w:b w:val="0"/>
                <w:bCs w:val="0"/>
                <w:sz w:val="20"/>
                <w:szCs w:val="20"/>
              </w:rPr>
              <w:t>SVR（调优后）</w:t>
            </w:r>
          </w:p>
        </w:tc>
        <w:tc>
          <w:tcPr>
            <w:tcW w:w="1200" w:type="dxa"/>
            <w:tcBorders>
              <w:top w:val="nil"/>
              <w:left w:val="nil"/>
              <w:bottom w:val="single" w:color="000000" w:sz="12" w:space="0"/>
              <w:right w:val="nil"/>
            </w:tcBorders>
            <w:tcMar>
              <w:top w:w="80" w:type="dxa"/>
              <w:left w:w="120" w:type="dxa"/>
              <w:bottom w:w="80" w:type="dxa"/>
              <w:right w:w="120" w:type="dxa"/>
            </w:tcMar>
            <w:vAlign w:val="center"/>
          </w:tcPr>
          <w:p w14:paraId="071E75AD">
            <w:pPr>
              <w:jc w:val="center"/>
            </w:pPr>
            <w:r>
              <w:rPr>
                <w:rFonts w:ascii="宋体" w:hAnsi="宋体" w:eastAsia="宋体" w:cs="宋体"/>
                <w:b w:val="0"/>
                <w:bCs w:val="0"/>
                <w:sz w:val="20"/>
                <w:szCs w:val="20"/>
              </w:rPr>
              <w:t>0.7586</w:t>
            </w:r>
          </w:p>
        </w:tc>
        <w:tc>
          <w:tcPr>
            <w:tcW w:w="1200" w:type="dxa"/>
            <w:tcBorders>
              <w:top w:val="nil"/>
              <w:left w:val="nil"/>
              <w:bottom w:val="single" w:color="000000" w:sz="12" w:space="0"/>
              <w:right w:val="nil"/>
            </w:tcBorders>
            <w:tcMar>
              <w:top w:w="80" w:type="dxa"/>
              <w:left w:w="120" w:type="dxa"/>
              <w:bottom w:w="80" w:type="dxa"/>
              <w:right w:w="120" w:type="dxa"/>
            </w:tcMar>
            <w:vAlign w:val="center"/>
          </w:tcPr>
          <w:p w14:paraId="61300852">
            <w:pPr>
              <w:jc w:val="center"/>
            </w:pPr>
            <w:r>
              <w:rPr>
                <w:rFonts w:ascii="宋体" w:hAnsi="宋体" w:eastAsia="宋体" w:cs="宋体"/>
                <w:b w:val="0"/>
                <w:bCs w:val="0"/>
                <w:sz w:val="20"/>
                <w:szCs w:val="20"/>
              </w:rPr>
              <w:t>0.5624</w:t>
            </w:r>
          </w:p>
        </w:tc>
        <w:tc>
          <w:tcPr>
            <w:tcW w:w="1200" w:type="dxa"/>
            <w:tcBorders>
              <w:top w:val="nil"/>
              <w:left w:val="nil"/>
              <w:bottom w:val="single" w:color="000000" w:sz="12" w:space="0"/>
              <w:right w:val="nil"/>
            </w:tcBorders>
            <w:tcMar>
              <w:top w:w="80" w:type="dxa"/>
              <w:left w:w="120" w:type="dxa"/>
              <w:bottom w:w="80" w:type="dxa"/>
              <w:right w:w="120" w:type="dxa"/>
            </w:tcMar>
            <w:vAlign w:val="center"/>
          </w:tcPr>
          <w:p w14:paraId="6C98D05B">
            <w:pPr>
              <w:jc w:val="center"/>
            </w:pPr>
            <w:r>
              <w:rPr>
                <w:rFonts w:ascii="宋体" w:hAnsi="宋体" w:eastAsia="宋体" w:cs="宋体"/>
                <w:b w:val="0"/>
                <w:bCs w:val="0"/>
                <w:sz w:val="20"/>
                <w:szCs w:val="20"/>
              </w:rPr>
              <w:t>0.3718</w:t>
            </w:r>
          </w:p>
        </w:tc>
        <w:tc>
          <w:tcPr>
            <w:tcW w:w="1200" w:type="dxa"/>
            <w:tcBorders>
              <w:top w:val="nil"/>
              <w:left w:val="nil"/>
              <w:bottom w:val="single" w:color="000000" w:sz="12" w:space="0"/>
              <w:right w:val="nil"/>
            </w:tcBorders>
            <w:tcMar>
              <w:top w:w="80" w:type="dxa"/>
              <w:left w:w="120" w:type="dxa"/>
              <w:bottom w:w="80" w:type="dxa"/>
              <w:right w:w="120" w:type="dxa"/>
            </w:tcMar>
            <w:vAlign w:val="center"/>
          </w:tcPr>
          <w:p w14:paraId="06F6B28F">
            <w:pPr>
              <w:jc w:val="center"/>
            </w:pPr>
            <w:r>
              <w:rPr>
                <w:rFonts w:ascii="宋体" w:hAnsi="宋体" w:eastAsia="宋体" w:cs="宋体"/>
                <w:b w:val="0"/>
                <w:bCs w:val="0"/>
                <w:sz w:val="20"/>
                <w:szCs w:val="20"/>
              </w:rPr>
              <w:t>0.3163</w:t>
            </w:r>
          </w:p>
        </w:tc>
      </w:tr>
    </w:tbl>
    <w:p w14:paraId="52AF4639">
      <w:pPr>
        <w:spacing w:before="0" w:after="100" w:line="360" w:lineRule="auto"/>
        <w:jc w:val="both"/>
      </w:pPr>
    </w:p>
    <w:p w14:paraId="73492D00">
      <w:pPr>
        <w:spacing w:before="120" w:after="60"/>
        <w:jc w:val="center"/>
      </w:pPr>
      <w:r>
        <w:drawing>
          <wp:inline distT="0" distB="0" distL="0" distR="0">
            <wp:extent cx="4381500" cy="1905000"/>
            <wp:effectExtent l="0" t="0" r="0" b="0"/>
            <wp:docPr id="4" name="fig7_model_comparison.png" descr="图4  模型性能对比柱状图" title="图4  模型性能对比柱状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7_model_comparison.png" descr="图4  模型性能对比柱状图" title="图4  模型性能对比柱状图"/>
                    <pic:cNvPicPr>
                      <a:picLocks noChangeAspect="1" noChangeArrowheads="1"/>
                    </pic:cNvPicPr>
                  </pic:nvPicPr>
                  <pic:blipFill>
                    <a:blip r:embed="rId10"/>
                    <a:srcRect/>
                    <a:stretch>
                      <a:fillRect/>
                    </a:stretch>
                  </pic:blipFill>
                  <pic:spPr>
                    <a:xfrm>
                      <a:off x="0" y="0"/>
                      <a:ext cx="4381500" cy="1905000"/>
                    </a:xfrm>
                    <a:prstGeom prst="rect">
                      <a:avLst/>
                    </a:prstGeom>
                  </pic:spPr>
                </pic:pic>
              </a:graphicData>
            </a:graphic>
          </wp:inline>
        </w:drawing>
      </w:r>
    </w:p>
    <w:p w14:paraId="6D183A4E">
      <w:pPr>
        <w:spacing w:after="200"/>
        <w:jc w:val="center"/>
      </w:pPr>
      <w:r>
        <w:rPr>
          <w:rFonts w:ascii="宋体" w:hAnsi="宋体" w:eastAsia="宋体" w:cs="宋体"/>
          <w:color w:val="333333"/>
          <w:sz w:val="20"/>
          <w:szCs w:val="20"/>
        </w:rPr>
        <w:t>图4  模型性能对比柱状图</w:t>
      </w:r>
    </w:p>
    <w:p w14:paraId="0F8C1E38">
      <w:pPr>
        <w:pStyle w:val="3"/>
        <w:spacing w:before="200" w:after="100" w:line="360" w:lineRule="auto"/>
        <w:jc w:val="left"/>
      </w:pPr>
      <w:bookmarkStart w:id="19" w:name="_Toc23102"/>
      <w:r>
        <w:rPr>
          <w:rFonts w:ascii="宋体" w:hAnsi="宋体" w:eastAsia="宋体" w:cs="宋体"/>
          <w:b/>
          <w:bCs/>
          <w:sz w:val="28"/>
          <w:szCs w:val="28"/>
        </w:rPr>
        <w:t>4.4 实际值与预测值对比</w:t>
      </w:r>
      <w:bookmarkEnd w:id="19"/>
    </w:p>
    <w:p w14:paraId="187BE9DA">
      <w:pPr>
        <w:spacing w:before="0" w:after="0" w:line="400" w:lineRule="auto"/>
        <w:ind w:firstLine="480"/>
        <w:jc w:val="both"/>
      </w:pPr>
      <w:r>
        <w:rPr>
          <w:rFonts w:ascii="宋体" w:hAnsi="宋体" w:eastAsia="宋体" w:cs="宋体"/>
          <w:sz w:val="24"/>
          <w:szCs w:val="24"/>
        </w:rPr>
        <w:t>图5以散点图的形式展示了两个模型在测试集上的预测效果。图中红色虚线为理想预测线（y=x），预测点越靠近该线表明预测越准确。可以看出：随机森林的预测点整体更紧密地分布在对角线附近，尤其在中低价位区间（1-3万美元）表现优异；SVR的预测点更为分散，在高价位区间（&gt;4万美元）出现了系统性低估现象。</w:t>
      </w:r>
    </w:p>
    <w:p w14:paraId="1C7362CC">
      <w:pPr>
        <w:spacing w:before="120" w:after="60"/>
        <w:jc w:val="center"/>
      </w:pPr>
      <w:r>
        <w:drawing>
          <wp:inline distT="0" distB="0" distL="0" distR="0">
            <wp:extent cx="4762500" cy="2190750"/>
            <wp:effectExtent l="0" t="0" r="0" b="0"/>
            <wp:docPr id="5" name="fig4_actual_vs_predicted_scatter.png" descr="图5  实际值与预测值散点图" title="图5  实际值与预测值散点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4_actual_vs_predicted_scatter.png" descr="图5  实际值与预测值散点图" title="图5  实际值与预测值散点图"/>
                    <pic:cNvPicPr>
                      <a:picLocks noChangeAspect="1" noChangeArrowheads="1"/>
                    </pic:cNvPicPr>
                  </pic:nvPicPr>
                  <pic:blipFill>
                    <a:blip r:embed="rId11"/>
                    <a:srcRect/>
                    <a:stretch>
                      <a:fillRect/>
                    </a:stretch>
                  </pic:blipFill>
                  <pic:spPr>
                    <a:xfrm>
                      <a:off x="0" y="0"/>
                      <a:ext cx="4762500" cy="2190750"/>
                    </a:xfrm>
                    <a:prstGeom prst="rect">
                      <a:avLst/>
                    </a:prstGeom>
                  </pic:spPr>
                </pic:pic>
              </a:graphicData>
            </a:graphic>
          </wp:inline>
        </w:drawing>
      </w:r>
    </w:p>
    <w:p w14:paraId="1475A7CE">
      <w:pPr>
        <w:spacing w:after="200"/>
        <w:jc w:val="center"/>
      </w:pPr>
      <w:r>
        <w:rPr>
          <w:rFonts w:ascii="宋体" w:hAnsi="宋体" w:eastAsia="宋体" w:cs="宋体"/>
          <w:color w:val="333333"/>
          <w:sz w:val="20"/>
          <w:szCs w:val="20"/>
        </w:rPr>
        <w:t>图5  实际值与预测值散点图</w:t>
      </w:r>
    </w:p>
    <w:p w14:paraId="18A684F8">
      <w:pPr>
        <w:spacing w:before="0" w:after="0" w:line="400" w:lineRule="auto"/>
        <w:ind w:firstLine="480"/>
        <w:jc w:val="both"/>
      </w:pPr>
      <w:r>
        <w:rPr>
          <w:rFonts w:ascii="宋体" w:hAnsi="宋体" w:eastAsia="宋体" w:cs="宋体"/>
          <w:sz w:val="24"/>
          <w:szCs w:val="24"/>
        </w:rPr>
        <w:t>图6从另一视角展示了前100个测试样本的实际值与预测值折线对比。直观可见随机森林的预测曲线（红色）与实际值曲线（蓝色）贴合度更高，而SVR（绿色）在部分样本上偏差较大。</w:t>
      </w:r>
    </w:p>
    <w:p w14:paraId="16C34BFA">
      <w:pPr>
        <w:spacing w:before="120" w:after="60"/>
        <w:jc w:val="center"/>
      </w:pPr>
      <w:r>
        <w:drawing>
          <wp:inline distT="0" distB="0" distL="0" distR="0">
            <wp:extent cx="4762500" cy="2000250"/>
            <wp:effectExtent l="0" t="0" r="0" b="0"/>
            <wp:docPr id="6" name="fig5_actual_vs_predicted_line.png" descr="图6  前100个测试样本实际值与预测值折线对比" title="图6  前100个测试样本实际值与预测值折线对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5_actual_vs_predicted_line.png" descr="图6  前100个测试样本实际值与预测值折线对比" title="图6  前100个测试样本实际值与预测值折线对比"/>
                    <pic:cNvPicPr>
                      <a:picLocks noChangeAspect="1" noChangeArrowheads="1"/>
                    </pic:cNvPicPr>
                  </pic:nvPicPr>
                  <pic:blipFill>
                    <a:blip r:embed="rId12"/>
                    <a:srcRect/>
                    <a:stretch>
                      <a:fillRect/>
                    </a:stretch>
                  </pic:blipFill>
                  <pic:spPr>
                    <a:xfrm>
                      <a:off x="0" y="0"/>
                      <a:ext cx="4762500" cy="2000250"/>
                    </a:xfrm>
                    <a:prstGeom prst="rect">
                      <a:avLst/>
                    </a:prstGeom>
                  </pic:spPr>
                </pic:pic>
              </a:graphicData>
            </a:graphic>
          </wp:inline>
        </w:drawing>
      </w:r>
    </w:p>
    <w:p w14:paraId="360E8EEC">
      <w:pPr>
        <w:spacing w:after="200"/>
        <w:jc w:val="center"/>
      </w:pPr>
      <w:r>
        <w:rPr>
          <w:rFonts w:ascii="宋体" w:hAnsi="宋体" w:eastAsia="宋体" w:cs="宋体"/>
          <w:color w:val="333333"/>
          <w:sz w:val="20"/>
          <w:szCs w:val="20"/>
        </w:rPr>
        <w:t>图6  前100个测试样本实际值与预测值折线对比</w:t>
      </w:r>
    </w:p>
    <w:p w14:paraId="6B727EB5">
      <w:pPr>
        <w:pStyle w:val="3"/>
        <w:spacing w:before="200" w:after="100" w:line="360" w:lineRule="auto"/>
        <w:jc w:val="left"/>
      </w:pPr>
      <w:bookmarkStart w:id="20" w:name="_Toc30739"/>
      <w:r>
        <w:rPr>
          <w:rFonts w:ascii="宋体" w:hAnsi="宋体" w:eastAsia="宋体" w:cs="宋体"/>
          <w:b/>
          <w:bCs/>
          <w:sz w:val="28"/>
          <w:szCs w:val="28"/>
        </w:rPr>
        <w:t>4.5 特征重要性分析</w:t>
      </w:r>
      <w:bookmarkEnd w:id="20"/>
    </w:p>
    <w:p w14:paraId="0A30AFD9">
      <w:pPr>
        <w:spacing w:before="0" w:after="0" w:line="400" w:lineRule="auto"/>
        <w:ind w:firstLine="480"/>
        <w:jc w:val="both"/>
      </w:pPr>
      <w:r>
        <w:rPr>
          <w:rFonts w:ascii="宋体" w:hAnsi="宋体" w:eastAsia="宋体" w:cs="宋体"/>
          <w:sz w:val="24"/>
          <w:szCs w:val="24"/>
        </w:rPr>
        <w:t>图7展示了随机森林模型输出的特征重要性排序。家庭收入中位数（MedInc）以绝对优势位居首位，其重要性远超其他特征，验证了收入水平作为房价核心驱动因素的经济学假设。其次是地理位置（经度和纬度），体现了区位因素对房价的显著影响。平均入住人数和房屋年龄也具有一定的预测贡献。</w:t>
      </w:r>
    </w:p>
    <w:p w14:paraId="211FD9EF">
      <w:pPr>
        <w:spacing w:before="120" w:after="60"/>
        <w:jc w:val="center"/>
      </w:pPr>
      <w:r>
        <w:drawing>
          <wp:inline distT="0" distB="0" distL="0" distR="0">
            <wp:extent cx="4000500" cy="2476500"/>
            <wp:effectExtent l="0" t="0" r="0" b="0"/>
            <wp:docPr id="7" name="fig6_feature_importance.png" descr="图7  随机森林特征重要性排序" title="图7  随机森林特征重要性排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6_feature_importance.png" descr="图7  随机森林特征重要性排序" title="图7  随机森林特征重要性排序"/>
                    <pic:cNvPicPr>
                      <a:picLocks noChangeAspect="1" noChangeArrowheads="1"/>
                    </pic:cNvPicPr>
                  </pic:nvPicPr>
                  <pic:blipFill>
                    <a:blip r:embed="rId13"/>
                    <a:srcRect/>
                    <a:stretch>
                      <a:fillRect/>
                    </a:stretch>
                  </pic:blipFill>
                  <pic:spPr>
                    <a:xfrm>
                      <a:off x="0" y="0"/>
                      <a:ext cx="4000500" cy="2476500"/>
                    </a:xfrm>
                    <a:prstGeom prst="rect">
                      <a:avLst/>
                    </a:prstGeom>
                  </pic:spPr>
                </pic:pic>
              </a:graphicData>
            </a:graphic>
          </wp:inline>
        </w:drawing>
      </w:r>
    </w:p>
    <w:p w14:paraId="14619D21">
      <w:pPr>
        <w:spacing w:after="200"/>
        <w:jc w:val="center"/>
      </w:pPr>
      <w:r>
        <w:rPr>
          <w:rFonts w:ascii="宋体" w:hAnsi="宋体" w:eastAsia="宋体" w:cs="宋体"/>
          <w:color w:val="333333"/>
          <w:sz w:val="20"/>
          <w:szCs w:val="20"/>
        </w:rPr>
        <w:t>图7  随机森林特征重要性排序</w:t>
      </w:r>
    </w:p>
    <w:p w14:paraId="3267211B">
      <w:pPr>
        <w:pStyle w:val="2"/>
        <w:spacing w:before="240" w:after="120" w:line="360" w:lineRule="auto"/>
        <w:jc w:val="left"/>
      </w:pPr>
      <w:bookmarkStart w:id="21" w:name="_Toc12999"/>
      <w:r>
        <w:rPr>
          <w:rFonts w:ascii="宋体" w:hAnsi="宋体" w:eastAsia="宋体" w:cs="宋体"/>
          <w:b/>
          <w:bCs/>
          <w:sz w:val="32"/>
          <w:szCs w:val="32"/>
        </w:rPr>
        <w:t>五、经济分析与讨论</w:t>
      </w:r>
      <w:bookmarkEnd w:id="21"/>
    </w:p>
    <w:p w14:paraId="38AA16BD">
      <w:pPr>
        <w:pStyle w:val="3"/>
        <w:spacing w:before="200" w:after="100" w:line="360" w:lineRule="auto"/>
        <w:jc w:val="left"/>
      </w:pPr>
      <w:bookmarkStart w:id="22" w:name="_Toc28355"/>
      <w:r>
        <w:rPr>
          <w:rFonts w:ascii="宋体" w:hAnsi="宋体" w:eastAsia="宋体" w:cs="宋体"/>
          <w:b/>
          <w:bCs/>
          <w:sz w:val="28"/>
          <w:szCs w:val="28"/>
        </w:rPr>
        <w:t>5.1 收入因素的核心驱动作用</w:t>
      </w:r>
      <w:bookmarkEnd w:id="22"/>
    </w:p>
    <w:p w14:paraId="10EDA33D">
      <w:pPr>
        <w:spacing w:before="0" w:after="0" w:line="400" w:lineRule="auto"/>
        <w:ind w:firstLine="480"/>
        <w:jc w:val="both"/>
      </w:pPr>
      <w:r>
        <w:rPr>
          <w:rFonts w:ascii="宋体" w:hAnsi="宋体" w:eastAsia="宋体" w:cs="宋体"/>
          <w:sz w:val="24"/>
          <w:szCs w:val="24"/>
        </w:rPr>
        <w:t>实证结果表明，家庭收入中位数是影响加州房价最重要的因素（特征重要性最高），与房价的皮尔逊相关系数达到0.69。这一发现与经济学中的"收入-房价"理论高度一致：住房作为一种耐用消费品，其有效需求直接取决于居民的支付能力。在加州，硅谷、旧金山等高科技产业聚集区的居民收入水平显著高于内陆农业区，导致沿海城市房价长期居高不下。这也解释了为何在模型中收入变量的贡献远超其他因素。</w:t>
      </w:r>
    </w:p>
    <w:p w14:paraId="0EE7906A">
      <w:pPr>
        <w:pStyle w:val="3"/>
        <w:spacing w:before="200" w:after="100" w:line="360" w:lineRule="auto"/>
        <w:jc w:val="left"/>
      </w:pPr>
      <w:bookmarkStart w:id="23" w:name="_Toc15478"/>
      <w:r>
        <w:rPr>
          <w:rFonts w:ascii="宋体" w:hAnsi="宋体" w:eastAsia="宋体" w:cs="宋体"/>
          <w:b/>
          <w:bCs/>
          <w:sz w:val="28"/>
          <w:szCs w:val="28"/>
        </w:rPr>
        <w:t>5.2 区位效应与空间异质性</w:t>
      </w:r>
      <w:bookmarkEnd w:id="23"/>
    </w:p>
    <w:p w14:paraId="07EA3363">
      <w:pPr>
        <w:spacing w:before="0" w:after="0" w:line="400" w:lineRule="auto"/>
        <w:ind w:firstLine="480"/>
        <w:jc w:val="both"/>
      </w:pPr>
      <w:r>
        <w:rPr>
          <w:rFonts w:ascii="宋体" w:hAnsi="宋体" w:eastAsia="宋体" w:cs="宋体"/>
          <w:sz w:val="24"/>
          <w:szCs w:val="24"/>
        </w:rPr>
        <w:t>经纬度特征在随机森林模型中的重要性排名仅次于收入，揭示了加州房地产市场显著的空间异质性。尽管线性相关系数较小（纬度r=-0.14，经度r=-0.05），但随机森林通过非线性分裂能够识别出旧金山湾区（纬度约37°-38°）、大洛杉矶地区（纬度约34°）等沿海城市圈的高房价空间聚集效应。这种区位溢价源于多重因素叠加：沿海就业机会密集（科技、金融、娱乐产业聚集）、土地供给受地形约束、公共配套设施完善以及气候宜居性带来的持续人口净流入。</w:t>
      </w:r>
    </w:p>
    <w:p w14:paraId="17DF6F53">
      <w:pPr>
        <w:pStyle w:val="3"/>
        <w:spacing w:before="200" w:after="100" w:line="360" w:lineRule="auto"/>
        <w:jc w:val="left"/>
      </w:pPr>
      <w:bookmarkStart w:id="24" w:name="_Toc15516"/>
      <w:r>
        <w:rPr>
          <w:rFonts w:ascii="宋体" w:hAnsi="宋体" w:eastAsia="宋体" w:cs="宋体"/>
          <w:b/>
          <w:bCs/>
          <w:sz w:val="28"/>
          <w:szCs w:val="28"/>
        </w:rPr>
        <w:t>5.3 供需结构与人口因素</w:t>
      </w:r>
      <w:bookmarkEnd w:id="24"/>
    </w:p>
    <w:p w14:paraId="2B1133E8">
      <w:pPr>
        <w:spacing w:before="0" w:after="0" w:line="400" w:lineRule="auto"/>
        <w:ind w:firstLine="480"/>
        <w:jc w:val="both"/>
      </w:pPr>
      <w:r>
        <w:rPr>
          <w:rFonts w:ascii="宋体" w:hAnsi="宋体" w:eastAsia="宋体" w:cs="宋体"/>
          <w:sz w:val="24"/>
          <w:szCs w:val="24"/>
        </w:rPr>
        <w:t>平均入住人数（AveOccup）和街区人口（Population）反映了住房供需关系的微观特征。高入住率通常意味着住房供给紧张、人均居住面积减小，在一定程度上推高了单位面积的房价。然而，极端的人口密度也可能因居住环境恶化而抑制房价，因此该变量与房价呈现非线性关系，这也是随机森林优于线性模型的重要原因之一。</w:t>
      </w:r>
    </w:p>
    <w:p w14:paraId="00E761BB">
      <w:pPr>
        <w:pStyle w:val="3"/>
        <w:spacing w:before="200" w:after="100" w:line="360" w:lineRule="auto"/>
        <w:jc w:val="left"/>
      </w:pPr>
      <w:bookmarkStart w:id="25" w:name="_Toc30172"/>
      <w:r>
        <w:rPr>
          <w:rFonts w:ascii="宋体" w:hAnsi="宋体" w:eastAsia="宋体" w:cs="宋体"/>
          <w:b/>
          <w:bCs/>
          <w:sz w:val="28"/>
          <w:szCs w:val="28"/>
        </w:rPr>
        <w:t>5.4 住房属性与折旧效应</w:t>
      </w:r>
      <w:bookmarkEnd w:id="25"/>
    </w:p>
    <w:p w14:paraId="5085712F">
      <w:pPr>
        <w:spacing w:before="0" w:after="0" w:line="400" w:lineRule="auto"/>
        <w:ind w:firstLine="480"/>
        <w:jc w:val="both"/>
      </w:pPr>
      <w:r>
        <w:rPr>
          <w:rFonts w:ascii="宋体" w:hAnsi="宋体" w:eastAsia="宋体" w:cs="宋体"/>
          <w:sz w:val="24"/>
          <w:szCs w:val="24"/>
        </w:rPr>
        <w:t>房屋年龄（HouseAge）对房价的影响呈现双向效应。一方面，较新的房屋由于建筑标准更高、设施更现代而具有溢价；另一方面，某些老城区（如旧金山的维多利亚式建筑街区）因其历史文化价值和成熟的社区配套反而维持了较高房价。平均房间数与平均卧室数高度相关（r=0.85），均反映了住房面积与结构特征，面积更大的住房通常对应更高的价格。</w:t>
      </w:r>
    </w:p>
    <w:p w14:paraId="6BBE3099">
      <w:pPr>
        <w:pStyle w:val="3"/>
        <w:spacing w:before="200" w:after="100" w:line="360" w:lineRule="auto"/>
        <w:jc w:val="left"/>
      </w:pPr>
      <w:bookmarkStart w:id="26" w:name="_Toc31919"/>
      <w:r>
        <w:rPr>
          <w:rFonts w:ascii="宋体" w:hAnsi="宋体" w:eastAsia="宋体" w:cs="宋体"/>
          <w:b/>
          <w:bCs/>
          <w:sz w:val="28"/>
          <w:szCs w:val="28"/>
        </w:rPr>
        <w:t>5.5 模型选择的经济学启示</w:t>
      </w:r>
      <w:bookmarkEnd w:id="26"/>
    </w:p>
    <w:p w14:paraId="60176B65">
      <w:pPr>
        <w:spacing w:before="0" w:after="0" w:line="400" w:lineRule="auto"/>
        <w:ind w:firstLine="480"/>
        <w:jc w:val="both"/>
      </w:pPr>
      <w:r>
        <w:rPr>
          <w:rFonts w:ascii="宋体" w:hAnsi="宋体" w:eastAsia="宋体" w:cs="宋体"/>
          <w:sz w:val="24"/>
          <w:szCs w:val="24"/>
        </w:rPr>
        <w:t>随机森林在本研究中的优异表现具有深层经济学含义：房价的形成是一个复杂的非线性过程，涉及收入、地理、人口、建筑属性等多维因素的交互作用。传统的线性回归假设自变量与因变量之间为线性关系，难以刻画这种复杂的经济现象。而随机森林通过集成大量决策树，能够自动发现特征间的非线性关系和交互效应，因此更适合处理房地产市场这类高度复杂的经济系统。</w:t>
      </w:r>
    </w:p>
    <w:p w14:paraId="619922A6">
      <w:pPr>
        <w:spacing w:before="0" w:after="0" w:line="400" w:lineRule="auto"/>
        <w:ind w:firstLine="480"/>
        <w:jc w:val="both"/>
      </w:pPr>
      <w:r>
        <w:rPr>
          <w:rFonts w:ascii="宋体" w:hAnsi="宋体" w:eastAsia="宋体" w:cs="宋体"/>
          <w:sz w:val="24"/>
          <w:szCs w:val="24"/>
        </w:rPr>
        <w:t>同时，K折交叉验证和参数调优的应用有效控制了过拟合风险，确保模型的预测结论具有统计意义上的可靠性。这对于将模型应用于实际的房价评估和政策分析场景至关重要。</w:t>
      </w:r>
    </w:p>
    <w:p w14:paraId="6281F3C8">
      <w:pPr>
        <w:pStyle w:val="2"/>
        <w:spacing w:before="240" w:after="120" w:line="360" w:lineRule="auto"/>
        <w:jc w:val="left"/>
      </w:pPr>
      <w:bookmarkStart w:id="27" w:name="_Toc29036"/>
      <w:r>
        <w:rPr>
          <w:rFonts w:ascii="宋体" w:hAnsi="宋体" w:eastAsia="宋体" w:cs="宋体"/>
          <w:b/>
          <w:bCs/>
          <w:sz w:val="32"/>
          <w:szCs w:val="32"/>
        </w:rPr>
        <w:t>六、结论与展望</w:t>
      </w:r>
      <w:bookmarkEnd w:id="27"/>
    </w:p>
    <w:p w14:paraId="1F5AC43B">
      <w:pPr>
        <w:pStyle w:val="3"/>
        <w:spacing w:before="200" w:after="100" w:line="360" w:lineRule="auto"/>
        <w:jc w:val="left"/>
      </w:pPr>
      <w:bookmarkStart w:id="28" w:name="_Toc21701"/>
      <w:r>
        <w:rPr>
          <w:rFonts w:ascii="宋体" w:hAnsi="宋体" w:eastAsia="宋体" w:cs="宋体"/>
          <w:b/>
          <w:bCs/>
          <w:sz w:val="28"/>
          <w:szCs w:val="28"/>
        </w:rPr>
        <w:t>6.1 主要结论</w:t>
      </w:r>
      <w:bookmarkEnd w:id="28"/>
    </w:p>
    <w:p w14:paraId="71A8E785">
      <w:pPr>
        <w:spacing w:before="0" w:after="0" w:line="400" w:lineRule="auto"/>
        <w:ind w:firstLine="480"/>
        <w:jc w:val="both"/>
      </w:pPr>
      <w:r>
        <w:rPr>
          <w:rFonts w:ascii="宋体" w:hAnsi="宋体" w:eastAsia="宋体" w:cs="宋体"/>
          <w:sz w:val="24"/>
          <w:szCs w:val="24"/>
        </w:rPr>
        <w:t>本研究基于California Housing数据集，运用随机森林回归与支持向量机回归两种机器学习算法对加州住房价格进行了系统的预测分析。主要结论如下：</w:t>
      </w:r>
    </w:p>
    <w:p w14:paraId="7FA9AD14">
      <w:pPr>
        <w:spacing w:before="0" w:after="0" w:line="400" w:lineRule="auto"/>
        <w:ind w:firstLine="480"/>
        <w:jc w:val="both"/>
      </w:pPr>
      <w:r>
        <w:rPr>
          <w:rFonts w:ascii="宋体" w:hAnsi="宋体" w:eastAsia="宋体" w:cs="宋体"/>
          <w:sz w:val="24"/>
          <w:szCs w:val="24"/>
        </w:rPr>
        <w:t>第一，描述性统计与相关性分析表明，加州房价受收入水平、地理区位、人口密度和住房属性等多维经济因素共同驱动，其中家庭收入中位数是最核心的影响因素。</w:t>
      </w:r>
    </w:p>
    <w:p w14:paraId="139679C3">
      <w:pPr>
        <w:spacing w:before="0" w:after="0" w:line="400" w:lineRule="auto"/>
        <w:ind w:firstLine="480"/>
        <w:jc w:val="both"/>
      </w:pPr>
      <w:r>
        <w:rPr>
          <w:rFonts w:ascii="宋体" w:hAnsi="宋体" w:eastAsia="宋体" w:cs="宋体"/>
          <w:sz w:val="24"/>
          <w:szCs w:val="24"/>
        </w:rPr>
        <w:t>第二，随机森林模型在所有评价指标上均优于SVR模型，调优后R²达到0.8057，RMSE为0.5046万美元，能够解释约80.6%的房价变异。</w:t>
      </w:r>
    </w:p>
    <w:p w14:paraId="5E7DCFD1">
      <w:pPr>
        <w:spacing w:before="0" w:after="0" w:line="400" w:lineRule="auto"/>
        <w:ind w:firstLine="480"/>
        <w:jc w:val="both"/>
      </w:pPr>
      <w:r>
        <w:rPr>
          <w:rFonts w:ascii="宋体" w:hAnsi="宋体" w:eastAsia="宋体" w:cs="宋体"/>
          <w:sz w:val="24"/>
          <w:szCs w:val="24"/>
        </w:rPr>
        <w:t>第三，K折交叉验证结果显示两个模型均具有较好的泛化能力（标准差&lt;0.015），参数调优在一定程度上提升了模型性能，尤其是SVR的改善更为显著。</w:t>
      </w:r>
    </w:p>
    <w:p w14:paraId="7F4FF7A7">
      <w:pPr>
        <w:spacing w:before="0" w:after="0" w:line="400" w:lineRule="auto"/>
        <w:ind w:firstLine="480"/>
        <w:jc w:val="both"/>
      </w:pPr>
      <w:r>
        <w:rPr>
          <w:rFonts w:ascii="宋体" w:hAnsi="宋体" w:eastAsia="宋体" w:cs="宋体"/>
          <w:sz w:val="24"/>
          <w:szCs w:val="24"/>
        </w:rPr>
        <w:t>第四，特征重要性分析进一步验证了收入水平和地理位置对房价的核心驱动作用，为理解加州房地产市场提供了数据驱动的经济学解释。</w:t>
      </w:r>
    </w:p>
    <w:p w14:paraId="14DD8465">
      <w:pPr>
        <w:pStyle w:val="3"/>
        <w:spacing w:before="200" w:after="100" w:line="360" w:lineRule="auto"/>
        <w:jc w:val="left"/>
      </w:pPr>
      <w:bookmarkStart w:id="29" w:name="_Toc3710"/>
      <w:r>
        <w:rPr>
          <w:rFonts w:ascii="宋体" w:hAnsi="宋体" w:eastAsia="宋体" w:cs="宋体"/>
          <w:b/>
          <w:bCs/>
          <w:sz w:val="28"/>
          <w:szCs w:val="28"/>
        </w:rPr>
        <w:t>6.2 研究局限</w:t>
      </w:r>
      <w:bookmarkEnd w:id="29"/>
    </w:p>
    <w:p w14:paraId="7D2DECE1">
      <w:pPr>
        <w:spacing w:before="0" w:after="0" w:line="400" w:lineRule="auto"/>
        <w:ind w:firstLine="480"/>
        <w:jc w:val="both"/>
      </w:pPr>
      <w:r>
        <w:rPr>
          <w:rFonts w:ascii="宋体" w:hAnsi="宋体" w:eastAsia="宋体" w:cs="宋体"/>
          <w:sz w:val="24"/>
          <w:szCs w:val="24"/>
        </w:rPr>
        <w:t>本研究也存在一定局限性：（1）数据源自1990年人口普查，时效性有限，无法反映近年来加州房市的结构性变化；（2）房价中位数在5万美元处存在截断，可能导致高端市场的预测偏差；（3）缺少学区质量、犯罪率、交通便利性等重要经济社会变量，限制了模型的解释力。</w:t>
      </w:r>
    </w:p>
    <w:p w14:paraId="1C486007">
      <w:pPr>
        <w:pStyle w:val="3"/>
        <w:spacing w:before="200" w:after="100" w:line="360" w:lineRule="auto"/>
        <w:jc w:val="left"/>
      </w:pPr>
      <w:bookmarkStart w:id="30" w:name="_Toc31933"/>
      <w:r>
        <w:rPr>
          <w:rFonts w:ascii="宋体" w:hAnsi="宋体" w:eastAsia="宋体" w:cs="宋体"/>
          <w:b/>
          <w:bCs/>
          <w:sz w:val="28"/>
          <w:szCs w:val="28"/>
        </w:rPr>
        <w:t>6.3 未来展望</w:t>
      </w:r>
      <w:bookmarkEnd w:id="30"/>
    </w:p>
    <w:p w14:paraId="255113A5">
      <w:pPr>
        <w:spacing w:before="0" w:after="0" w:line="400" w:lineRule="auto"/>
        <w:ind w:firstLine="480"/>
        <w:jc w:val="both"/>
      </w:pPr>
      <w:r>
        <w:rPr>
          <w:rFonts w:ascii="宋体" w:hAnsi="宋体" w:eastAsia="宋体" w:cs="宋体"/>
          <w:sz w:val="24"/>
          <w:szCs w:val="24"/>
        </w:rPr>
        <w:t>未来研究可从以下方向拓展：（1）引入更新的房价数据（如Zillow数据集），结合宏观经济指标（利率、GDP增长率等）进行多维度分析；（2）尝试深度学习方法（如神经网络）以进一步提升预测精度；（3）结合空间计量经济学方法，深入分析房价的空间自相关效应和溢出效应。</w:t>
      </w:r>
    </w:p>
    <w:p w14:paraId="755CFAD6">
      <w:r>
        <w:br w:type="page"/>
      </w:r>
    </w:p>
    <w:p w14:paraId="0A3D134D">
      <w:pPr>
        <w:pStyle w:val="2"/>
        <w:spacing w:before="240" w:after="120" w:line="360" w:lineRule="auto"/>
        <w:jc w:val="left"/>
      </w:pPr>
      <w:bookmarkStart w:id="31" w:name="_Toc19376"/>
      <w:r>
        <w:rPr>
          <w:rFonts w:ascii="宋体" w:hAnsi="宋体" w:eastAsia="宋体" w:cs="宋体"/>
          <w:b/>
          <w:bCs/>
          <w:sz w:val="32"/>
          <w:szCs w:val="32"/>
        </w:rPr>
        <w:t>参考文献</w:t>
      </w:r>
      <w:bookmarkEnd w:id="31"/>
    </w:p>
    <w:p w14:paraId="1F15E045">
      <w:pPr>
        <w:spacing w:before="0" w:after="0" w:line="400" w:lineRule="auto"/>
        <w:jc w:val="both"/>
      </w:pPr>
      <w:r>
        <w:rPr>
          <w:rFonts w:ascii="宋体" w:hAnsi="宋体" w:eastAsia="宋体" w:cs="宋体"/>
          <w:sz w:val="24"/>
          <w:szCs w:val="24"/>
        </w:rPr>
        <w:t>[1] Pace R K, Barry R. Sparse spatial autoregressions[J]. Statistics &amp; Probability Letters, 1997, 33(3): 291-297.</w:t>
      </w:r>
    </w:p>
    <w:p w14:paraId="0E78DB31">
      <w:pPr>
        <w:spacing w:before="0" w:after="0" w:line="400" w:lineRule="auto"/>
        <w:jc w:val="both"/>
      </w:pPr>
      <w:r>
        <w:rPr>
          <w:rFonts w:ascii="宋体" w:hAnsi="宋体" w:eastAsia="宋体" w:cs="宋体"/>
          <w:sz w:val="24"/>
          <w:szCs w:val="24"/>
        </w:rPr>
        <w:t>[2] Breiman L. Random forests[J]. Machine learning, 2001, 45(1): 5-32.</w:t>
      </w:r>
    </w:p>
    <w:p w14:paraId="0968148A">
      <w:pPr>
        <w:spacing w:before="0" w:after="0" w:line="400" w:lineRule="auto"/>
        <w:jc w:val="both"/>
      </w:pPr>
      <w:r>
        <w:rPr>
          <w:rFonts w:ascii="宋体" w:hAnsi="宋体" w:eastAsia="宋体" w:cs="宋体"/>
          <w:sz w:val="24"/>
          <w:szCs w:val="24"/>
        </w:rPr>
        <w:t>[3] Vapnik V N. The nature of statistical learning theory[M]. Springer, 1995.</w:t>
      </w:r>
    </w:p>
    <w:p w14:paraId="760F1694">
      <w:pPr>
        <w:spacing w:before="0" w:after="0" w:line="400" w:lineRule="auto"/>
        <w:jc w:val="both"/>
      </w:pPr>
      <w:r>
        <w:rPr>
          <w:rFonts w:ascii="宋体" w:hAnsi="宋体" w:eastAsia="宋体" w:cs="宋体"/>
          <w:sz w:val="24"/>
          <w:szCs w:val="24"/>
        </w:rPr>
        <w:t>[4] Smola A J, Schölkopf B. A tutorial on support vector regression[J]. Statistics and Computing, 2004, 14(3): 199-222.</w:t>
      </w:r>
    </w:p>
    <w:p w14:paraId="55C91B62">
      <w:pPr>
        <w:spacing w:before="0" w:after="0" w:line="400" w:lineRule="auto"/>
        <w:jc w:val="both"/>
      </w:pPr>
      <w:r>
        <w:rPr>
          <w:rFonts w:ascii="宋体" w:hAnsi="宋体" w:eastAsia="宋体" w:cs="宋体"/>
          <w:sz w:val="24"/>
          <w:szCs w:val="24"/>
        </w:rPr>
        <w:t>[5] Pedregosa F, et al. Scikit-learn: Machine learning in Python[J]. Journal of Machine Learning Research, 2011, 12: 2825-2830.</w:t>
      </w:r>
    </w:p>
    <w:p w14:paraId="1425C148">
      <w:pPr>
        <w:spacing w:before="0" w:after="0" w:line="400" w:lineRule="auto"/>
        <w:jc w:val="both"/>
      </w:pPr>
      <w:r>
        <w:rPr>
          <w:rFonts w:ascii="宋体" w:hAnsi="宋体" w:eastAsia="宋体" w:cs="宋体"/>
          <w:sz w:val="24"/>
          <w:szCs w:val="24"/>
        </w:rPr>
        <w:t>[6] Mayer M, Bourassa S C, Hoesli M. Machine learning applications to land and structure valuation[J]. Journal of Risk and Financial Management, 2019, 12(2): 96.</w:t>
      </w:r>
    </w:p>
    <w:p w14:paraId="12C099F1">
      <w:pPr>
        <w:spacing w:before="0" w:after="0" w:line="400" w:lineRule="auto"/>
        <w:jc w:val="both"/>
      </w:pPr>
      <w:r>
        <w:rPr>
          <w:rFonts w:ascii="宋体" w:hAnsi="宋体" w:eastAsia="宋体" w:cs="宋体"/>
          <w:sz w:val="24"/>
          <w:szCs w:val="24"/>
        </w:rPr>
        <w:t>[7] Gu J, Zhu M, Jiang L. Housing price forecasting based on genetic algorithm and support vector machine[J]. Expert Systems with Applications, 2011, 38(3): 3383-3386.</w:t>
      </w:r>
    </w:p>
    <w:p w14:paraId="7329F049">
      <w:pPr>
        <w:spacing w:before="0" w:after="0" w:line="400" w:lineRule="auto"/>
        <w:jc w:val="both"/>
      </w:pPr>
      <w:r>
        <w:rPr>
          <w:rFonts w:ascii="宋体" w:hAnsi="宋体" w:eastAsia="宋体" w:cs="宋体"/>
          <w:sz w:val="24"/>
          <w:szCs w:val="24"/>
        </w:rPr>
        <w:t>[8] 周志华. 机器学习[M]. 北京: 清华大学出版社, 2016.</w:t>
      </w:r>
    </w:p>
    <w:sectPr>
      <w:footerReference r:id="rId5" w:type="default"/>
      <w:pgSz w:w="11906" w:h="16838"/>
      <w:pgMar w:top="1440" w:right="1440" w:bottom="1440" w:left="1440" w:header="708" w:footer="708" w:gutter="0"/>
      <w:pgNumType w:fmt="decimal" w:start="1"/>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901678"/>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4ACE71">
    <w:pPr>
      <w:jc w:val="center"/>
    </w:pPr>
    <w:r>
      <w:rPr>
        <w:sz w:val="24"/>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D306F1A">
                          <w:pPr>
                            <w:jc w:val="center"/>
                          </w:pPr>
                          <w:r>
                            <w:rPr>
                              <w:rFonts w:ascii="宋体" w:hAnsi="宋体" w:eastAsia="宋体" w:cs="宋体"/>
                              <w:sz w:val="18"/>
                              <w:szCs w:val="18"/>
                            </w:rPr>
                            <w:t xml:space="preserve">第 </w:t>
                          </w:r>
                          <w:r>
                            <w:rPr>
                              <w:sz w:val="18"/>
                              <w:szCs w:val="18"/>
                            </w:rPr>
                            <w:fldChar w:fldCharType="begin"/>
                          </w:r>
                          <w:r>
                            <w:rPr>
                              <w:sz w:val="18"/>
                              <w:szCs w:val="18"/>
                            </w:rPr>
                            <w:instrText xml:space="preserve">PAGE</w:instrText>
                          </w:r>
                          <w:r>
                            <w:rPr>
                              <w:sz w:val="18"/>
                              <w:szCs w:val="18"/>
                            </w:rPr>
                            <w:fldChar w:fldCharType="separate"/>
                          </w:r>
                          <w:r>
                            <w:rPr>
                              <w:sz w:val="18"/>
                              <w:szCs w:val="18"/>
                            </w:rPr>
                            <w:fldChar w:fldCharType="end"/>
                          </w:r>
                          <w:r>
                            <w:rPr>
                              <w:rFonts w:ascii="宋体" w:hAnsi="宋体" w:eastAsia="宋体" w:cs="宋体"/>
                              <w:sz w:val="18"/>
                              <w:szCs w:val="18"/>
                            </w:rP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eXtc4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ouyGaRT88v3b5cev&#10;y8+vZJbkqV2YI2rnEBebt7ZB0wznAYeJdVN6nb7gQ+CHuOeruKKJhKdLs+lsNoaLwzdsgJ89Xnc+&#10;xHfCapKMnHpUrxWVnbYhdqFDSMpm7EYq1VZQGVLn9Ob1m3F74eoBuDLIkUh0j01WbPZNz2xvizOI&#10;edt1RnB8I5F8y0J8YB6tgAdjWOI9llJZJLG9RUll/Zd/nad4VAheSmq0Vk4NJokS9d6gcgCMg+EH&#10;Yz8Y5qjvLHp1giF0vDVxwUc1mKW3+jMmaJVywMUMR6acxsG8i117YwK5WK3aoKPz8lB1F9B3jsWt&#10;2Tme0iQhg1sdI8RsNU4Cdar0uqHz2ir1U5Ja+899G/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Hl7XOMQIAAGEEAAAOAAAAAAAAAAEAIAAAAB8BAABkcnMvZTJvRG9jLnhtbFBLBQYA&#10;AAAABgAGAFkBAADCBQAAAAA=&#10;">
              <v:fill on="f" focussize="0,0"/>
              <v:stroke on="f" weight="0.5pt"/>
              <v:imagedata o:title=""/>
              <o:lock v:ext="edit" aspectratio="f"/>
              <v:textbox inset="0mm,0mm,0mm,0mm" style="mso-fit-shape-to-text:t;">
                <w:txbxContent>
                  <w:p w14:paraId="6D306F1A">
                    <w:pPr>
                      <w:jc w:val="center"/>
                    </w:pPr>
                    <w:r>
                      <w:rPr>
                        <w:rFonts w:ascii="宋体" w:hAnsi="宋体" w:eastAsia="宋体" w:cs="宋体"/>
                        <w:sz w:val="18"/>
                        <w:szCs w:val="18"/>
                      </w:rPr>
                      <w:t xml:space="preserve">第 </w:t>
                    </w:r>
                    <w:r>
                      <w:rPr>
                        <w:sz w:val="18"/>
                        <w:szCs w:val="18"/>
                      </w:rPr>
                      <w:fldChar w:fldCharType="begin"/>
                    </w:r>
                    <w:r>
                      <w:rPr>
                        <w:sz w:val="18"/>
                        <w:szCs w:val="18"/>
                      </w:rPr>
                      <w:instrText xml:space="preserve">PAGE</w:instrText>
                    </w:r>
                    <w:r>
                      <w:rPr>
                        <w:sz w:val="18"/>
                        <w:szCs w:val="18"/>
                      </w:rPr>
                      <w:fldChar w:fldCharType="separate"/>
                    </w:r>
                    <w:r>
                      <w:rPr>
                        <w:sz w:val="18"/>
                        <w:szCs w:val="18"/>
                      </w:rPr>
                      <w:fldChar w:fldCharType="end"/>
                    </w:r>
                    <w:r>
                      <w:rPr>
                        <w:rFonts w:ascii="宋体" w:hAnsi="宋体" w:eastAsia="宋体" w:cs="宋体"/>
                        <w:sz w:val="18"/>
                        <w:szCs w:val="18"/>
                      </w:rP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EF1047">
    <w:pPr>
      <w:pStyle w:val="10"/>
      <w:keepNext w:val="0"/>
      <w:keepLines w:val="0"/>
      <w:pageBreakBefore w:val="0"/>
      <w:widowControl w:val="0"/>
      <w:kinsoku/>
      <w:wordWrap/>
      <w:overflowPunct/>
      <w:topLinePunct w:val="0"/>
      <w:bidi w:val="0"/>
      <w:adjustRightInd/>
      <w:snapToGrid w:val="0"/>
      <w:spacing w:line="240" w:lineRule="atLeast"/>
      <w:textAlignment w:val="auto"/>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isplayBackgroundShape w:val="1"/>
  <w:documentProtection w:enforcement="0"/>
  <w:compat>
    <w:useFELayout/>
    <w:compatSetting w:name="compatibilityMode" w:uri="http://schemas.microsoft.com/office/word" w:val="15"/>
  </w:compat>
  <w:rsids>
    <w:rsidRoot w:val="00000000"/>
    <w:rsid w:val="0CB433C5"/>
    <w:rsid w:val="40B94CF9"/>
    <w:rsid w:val="47423A62"/>
    <w:rsid w:val="58F10A8A"/>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宋体" w:hAnsi="宋体"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iPriority="99"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qFormat="1" w:uiPriority="99" w:name="footnote reference"/>
    <w:lsdException w:unhideWhenUsed="0" w:uiPriority="0" w:semiHidden="0" w:name="annotation reference"/>
    <w:lsdException w:unhideWhenUsed="0" w:uiPriority="0" w:semiHidden="0" w:name="line number"/>
    <w:lsdException w:unhideWhenUsed="0" w:uiPriority="0" w:semiHidden="0" w:name="page number"/>
    <w:lsdException w:qFormat="1" w:uiPriority="99" w:name="endnote reference"/>
    <w:lsdException w:qFormat="1" w:uiPriority="99"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宋体" w:hAnsi="宋体" w:eastAsia="宋体" w:cs="宋体"/>
      <w:sz w:val="24"/>
      <w:szCs w:val="24"/>
    </w:rPr>
  </w:style>
  <w:style w:type="paragraph" w:styleId="2">
    <w:name w:val="heading 1"/>
    <w:next w:val="1"/>
    <w:qFormat/>
    <w:uiPriority w:val="0"/>
    <w:pPr>
      <w:spacing w:before="240" w:after="120"/>
      <w:outlineLvl w:val="0"/>
    </w:pPr>
    <w:rPr>
      <w:rFonts w:ascii="黑体" w:hAnsi="黑体" w:eastAsia="黑体" w:cs="黑体"/>
      <w:b/>
      <w:bCs/>
      <w:sz w:val="32"/>
      <w:szCs w:val="32"/>
    </w:rPr>
  </w:style>
  <w:style w:type="paragraph" w:styleId="3">
    <w:name w:val="heading 2"/>
    <w:next w:val="1"/>
    <w:qFormat/>
    <w:uiPriority w:val="0"/>
    <w:pPr>
      <w:spacing w:before="200" w:after="100"/>
      <w:outlineLvl w:val="1"/>
    </w:pPr>
    <w:rPr>
      <w:rFonts w:ascii="黑体" w:hAnsi="黑体" w:eastAsia="黑体" w:cs="黑体"/>
      <w:b/>
      <w:bCs/>
      <w:sz w:val="28"/>
      <w:szCs w:val="28"/>
    </w:rPr>
  </w:style>
  <w:style w:type="paragraph" w:styleId="4">
    <w:name w:val="heading 3"/>
    <w:next w:val="1"/>
    <w:qFormat/>
    <w:uiPriority w:val="0"/>
    <w:rPr>
      <w:rFonts w:ascii="宋体" w:hAnsi="宋体" w:eastAsia="宋体" w:cs="宋体"/>
      <w:color w:val="1F4D78"/>
      <w:sz w:val="24"/>
      <w:szCs w:val="24"/>
    </w:rPr>
  </w:style>
  <w:style w:type="paragraph" w:styleId="5">
    <w:name w:val="heading 4"/>
    <w:next w:val="1"/>
    <w:qFormat/>
    <w:uiPriority w:val="0"/>
    <w:rPr>
      <w:rFonts w:ascii="宋体" w:hAnsi="宋体" w:eastAsia="宋体" w:cs="宋体"/>
      <w:i/>
      <w:iCs/>
      <w:color w:val="2E74B5"/>
      <w:sz w:val="24"/>
      <w:szCs w:val="24"/>
    </w:rPr>
  </w:style>
  <w:style w:type="paragraph" w:styleId="6">
    <w:name w:val="heading 5"/>
    <w:next w:val="1"/>
    <w:qFormat/>
    <w:uiPriority w:val="0"/>
    <w:rPr>
      <w:rFonts w:ascii="宋体" w:hAnsi="宋体" w:eastAsia="宋体" w:cs="宋体"/>
      <w:color w:val="2E74B5"/>
      <w:sz w:val="24"/>
      <w:szCs w:val="24"/>
    </w:rPr>
  </w:style>
  <w:style w:type="paragraph" w:styleId="7">
    <w:name w:val="heading 6"/>
    <w:next w:val="1"/>
    <w:qFormat/>
    <w:uiPriority w:val="0"/>
    <w:rPr>
      <w:rFonts w:ascii="宋体" w:hAnsi="宋体" w:eastAsia="宋体" w:cs="宋体"/>
      <w:color w:val="1F4D78"/>
      <w:sz w:val="24"/>
      <w:szCs w:val="24"/>
    </w:rPr>
  </w:style>
  <w:style w:type="character" w:default="1" w:styleId="16">
    <w:name w:val="Default Paragraph Font"/>
    <w:semiHidden/>
    <w:qFormat/>
    <w:uiPriority w:val="0"/>
  </w:style>
  <w:style w:type="table" w:default="1" w:styleId="15">
    <w:name w:val="Normal Table"/>
    <w:semiHidden/>
    <w:qFormat/>
    <w:uiPriority w:val="0"/>
    <w:tblPr>
      <w:tblCellMar>
        <w:top w:w="0" w:type="dxa"/>
        <w:left w:w="108" w:type="dxa"/>
        <w:bottom w:w="0" w:type="dxa"/>
        <w:right w:w="108" w:type="dxa"/>
      </w:tblCellMar>
    </w:tblPr>
  </w:style>
  <w:style w:type="paragraph" w:styleId="8">
    <w:name w:val="endnote text"/>
    <w:link w:val="22"/>
    <w:semiHidden/>
    <w:unhideWhenUsed/>
    <w:qFormat/>
    <w:uiPriority w:val="99"/>
    <w:pPr>
      <w:spacing w:after="0" w:line="240" w:lineRule="auto"/>
    </w:pPr>
    <w:rPr>
      <w:rFonts w:ascii="宋体" w:hAnsi="宋体" w:eastAsia="宋体" w:cs="宋体"/>
      <w:sz w:val="20"/>
      <w:szCs w:val="20"/>
    </w:rPr>
  </w:style>
  <w:style w:type="paragraph" w:styleId="9">
    <w:name w:val="footer"/>
    <w:basedOn w:val="1"/>
    <w:qFormat/>
    <w:uiPriority w:val="0"/>
    <w:pPr>
      <w:tabs>
        <w:tab w:val="center" w:pos="4153"/>
        <w:tab w:val="right" w:pos="8306"/>
      </w:tabs>
      <w:snapToGrid w:val="0"/>
      <w:jc w:val="left"/>
    </w:pPr>
    <w:rPr>
      <w:sz w:val="18"/>
    </w:rPr>
  </w:style>
  <w:style w:type="paragraph" w:styleId="10">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1">
    <w:name w:val="toc 1"/>
    <w:basedOn w:val="1"/>
    <w:next w:val="1"/>
    <w:qFormat/>
    <w:uiPriority w:val="0"/>
  </w:style>
  <w:style w:type="paragraph" w:styleId="12">
    <w:name w:val="footnote text"/>
    <w:link w:val="21"/>
    <w:semiHidden/>
    <w:unhideWhenUsed/>
    <w:qFormat/>
    <w:uiPriority w:val="99"/>
    <w:pPr>
      <w:spacing w:after="0" w:line="240" w:lineRule="auto"/>
    </w:pPr>
    <w:rPr>
      <w:rFonts w:ascii="宋体" w:hAnsi="宋体" w:eastAsia="宋体" w:cs="宋体"/>
      <w:sz w:val="20"/>
      <w:szCs w:val="20"/>
    </w:rPr>
  </w:style>
  <w:style w:type="paragraph" w:styleId="13">
    <w:name w:val="toc 2"/>
    <w:basedOn w:val="1"/>
    <w:next w:val="1"/>
    <w:qFormat/>
    <w:uiPriority w:val="0"/>
    <w:pPr>
      <w:ind w:left="420" w:leftChars="200"/>
    </w:pPr>
  </w:style>
  <w:style w:type="paragraph" w:styleId="14">
    <w:name w:val="Title"/>
    <w:qFormat/>
    <w:uiPriority w:val="0"/>
    <w:rPr>
      <w:rFonts w:ascii="宋体" w:hAnsi="宋体" w:eastAsia="宋体" w:cs="宋体"/>
      <w:sz w:val="56"/>
      <w:szCs w:val="56"/>
    </w:rPr>
  </w:style>
  <w:style w:type="character" w:styleId="17">
    <w:name w:val="endnote reference"/>
    <w:semiHidden/>
    <w:unhideWhenUsed/>
    <w:qFormat/>
    <w:uiPriority w:val="99"/>
    <w:rPr>
      <w:vertAlign w:val="superscript"/>
    </w:rPr>
  </w:style>
  <w:style w:type="character" w:styleId="18">
    <w:name w:val="Hyperlink"/>
    <w:unhideWhenUsed/>
    <w:qFormat/>
    <w:uiPriority w:val="99"/>
    <w:rPr>
      <w:color w:val="0563C1"/>
      <w:u w:val="single"/>
    </w:rPr>
  </w:style>
  <w:style w:type="character" w:styleId="19">
    <w:name w:val="footnote reference"/>
    <w:semiHidden/>
    <w:unhideWhenUsed/>
    <w:qFormat/>
    <w:uiPriority w:val="99"/>
    <w:rPr>
      <w:vertAlign w:val="superscript"/>
    </w:rPr>
  </w:style>
  <w:style w:type="paragraph" w:styleId="20">
    <w:name w:val="List Paragraph"/>
    <w:qFormat/>
    <w:uiPriority w:val="0"/>
    <w:rPr>
      <w:rFonts w:ascii="宋体" w:hAnsi="宋体" w:eastAsia="宋体" w:cs="宋体"/>
      <w:sz w:val="24"/>
      <w:szCs w:val="24"/>
    </w:rPr>
  </w:style>
  <w:style w:type="character" w:customStyle="1" w:styleId="21">
    <w:name w:val="Footnote Text Char"/>
    <w:link w:val="12"/>
    <w:semiHidden/>
    <w:unhideWhenUsed/>
    <w:qFormat/>
    <w:uiPriority w:val="99"/>
    <w:rPr>
      <w:sz w:val="20"/>
      <w:szCs w:val="20"/>
    </w:rPr>
  </w:style>
  <w:style w:type="character" w:customStyle="1" w:styleId="22">
    <w:name w:val="Endnote Text Char"/>
    <w:link w:val="8"/>
    <w:semiHidden/>
    <w:unhideWhenUsed/>
    <w:qFormat/>
    <w:uiPriority w:val="99"/>
    <w:rPr>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customXml" Target="../customXml/item1.xml"/><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14</Pages>
  <Words>4968</Words>
  <Characters>6602</Characters>
  <TotalTime>0</TotalTime>
  <ScaleCrop>false</ScaleCrop>
  <LinksUpToDate>false</LinksUpToDate>
  <CharactersWithSpaces>6843</CharactersWithSpaces>
  <Application>WPS Office_12.1.0.26375_F1E327BC-269C-435d-A152-05C5408002CA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2026-05-26T07:12:00Z</dcterms:created>
  <dc:creator>Un-named</dc:creator>
  <cp:lastModifiedBy>WPS_1665158381</cp:lastModifiedBy>
  <dcterms:modified xsi:type="dcterms:W3CDTF">2026-05-26T08:38:53Z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eyJoZGlkIjoiNTM3MzVjZmMzZDYzNjQyMWFjNTBmMzhkZDU4OWM4OTciLCJ1c2VySWQiOiIxNDE2NjM3MTY5In0=</vt:lpwstr>
  </property>
  <property fmtid="{D5CDD505-2E9C-101B-9397-08002B2CF9AE}" pid="3" name="KSOProductBuildVer">
    <vt:lpwstr>2052-12.1.0.26375</vt:lpwstr>
  </property>
  <property fmtid="{D5CDD505-2E9C-101B-9397-08002B2CF9AE}" pid="4" name="ICV">
    <vt:lpwstr>FCAB5B04E5B146708DAA7EC1FA68306A_12</vt:lpwstr>
  </property>
</Properties>
</file>