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304A5">
      <w:pPr>
        <w:spacing w:before="0" w:after="0" w:line="360" w:lineRule="auto"/>
        <w:jc w:val="center"/>
      </w:pPr>
      <w:r>
        <w:rPr>
          <w:rFonts w:ascii="Times New Roman" w:hAnsi="Times New Roman" w:eastAsia="宋体" w:cs="宋体"/>
          <w:b/>
          <w:sz w:val="44"/>
        </w:rPr>
        <w:t>现金流管理对企业财务稳定性的影响分析</w:t>
      </w:r>
    </w:p>
    <w:p w14:paraId="3B0DAF2F">
      <w:pPr>
        <w:spacing w:before="240" w:after="120" w:line="360" w:lineRule="auto"/>
      </w:pPr>
      <w:r>
        <w:rPr>
          <w:rFonts w:ascii="Times New Roman" w:hAnsi="Times New Roman" w:eastAsia="宋体" w:cs="宋体"/>
          <w:b/>
          <w:sz w:val="28"/>
        </w:rPr>
        <w:t>第2章  数据获取与整理</w:t>
      </w:r>
    </w:p>
    <w:p w14:paraId="1CD6BA59">
      <w:pPr>
        <w:spacing w:before="120" w:after="120" w:line="360" w:lineRule="auto"/>
      </w:pPr>
      <w:r>
        <w:rPr>
          <w:rFonts w:ascii="Times New Roman" w:hAnsi="Times New Roman" w:eastAsia="宋体" w:cs="宋体"/>
          <w:b/>
          <w:sz w:val="24"/>
        </w:rPr>
        <w:t>2.1  数据获取</w:t>
      </w:r>
    </w:p>
    <w:p w14:paraId="60898D51">
      <w:pPr>
        <w:spacing w:before="0" w:after="120" w:line="360" w:lineRule="auto"/>
        <w:ind w:firstLine="480"/>
      </w:pPr>
      <w:r>
        <w:rPr>
          <w:rFonts w:ascii="Times New Roman" w:hAnsi="Times New Roman" w:eastAsia="宋体" w:cs="宋体"/>
          <w:b w:val="0"/>
          <w:sz w:val="24"/>
        </w:rPr>
        <w:t>本研究数据来源为tushare Pro金融数据平台，该平台汇集了沪深两市A股上市公司的多类财务报表数据，覆盖面广、更新及时，被学术界与金融机构广泛用作量化研究的基础数据来源。本研究通过调用平台提供的API接口，以程序化方式批量提取上市公司财务数据，保证了数据获取过程的客观性与可重复性。</w:t>
      </w:r>
    </w:p>
    <w:p w14:paraId="2C824C72">
      <w:pPr>
        <w:spacing w:before="0" w:after="120" w:line="360" w:lineRule="auto"/>
        <w:ind w:firstLine="480"/>
      </w:pPr>
      <w:r>
        <w:rPr>
          <w:rFonts w:ascii="Times New Roman" w:hAnsi="Times New Roman" w:eastAsia="宋体" w:cs="宋体"/>
          <w:b w:val="0"/>
          <w:sz w:val="24"/>
        </w:rPr>
        <w:t>在样本选取上，本研究遵循行业均衡原则，从银行、化学制药、化工原料、半导体、专用机械、食品、汽车整车、白酒、纺织、农业综合10个行业中分别抽取6家具有代表性的沪深A股上市公司，初始样本共60家，数据时间范围为2020年至2023年，以年度报告为基本分析单元，样本公司行业分布见表1。</w:t>
      </w:r>
    </w:p>
    <w:p w14:paraId="6A8043B4">
      <w:pPr>
        <w:spacing w:before="60" w:after="80" w:line="360" w:lineRule="auto"/>
        <w:jc w:val="center"/>
      </w:pPr>
      <w:r>
        <w:rPr>
          <w:rFonts w:ascii="Times New Roman" w:hAnsi="Times New Roman" w:eastAsia="宋体" w:cs="宋体"/>
          <w:b w:val="0"/>
          <w:sz w:val="21"/>
        </w:rPr>
        <w:t>表1  样本公司行业分布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4"/>
        <w:gridCol w:w="3024"/>
        <w:gridCol w:w="3024"/>
      </w:tblGrid>
      <w:tr w14:paraId="4881A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0E468C5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/>
                <w:sz w:val="21"/>
              </w:rPr>
              <w:t>行业</w:t>
            </w:r>
          </w:p>
        </w:tc>
        <w:tc>
          <w:tcPr>
            <w:tcW w:w="3024" w:type="dxa"/>
          </w:tcPr>
          <w:p w14:paraId="37A9FC7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/>
                <w:sz w:val="21"/>
              </w:rPr>
              <w:t>样本公司数（家）</w:t>
            </w:r>
          </w:p>
        </w:tc>
        <w:tc>
          <w:tcPr>
            <w:tcW w:w="3024" w:type="dxa"/>
          </w:tcPr>
          <w:p w14:paraId="5CBB505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/>
                <w:sz w:val="21"/>
              </w:rPr>
              <w:t>数据年度</w:t>
            </w:r>
          </w:p>
        </w:tc>
      </w:tr>
      <w:tr w14:paraId="5A490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6E66B69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银行</w:t>
            </w:r>
          </w:p>
        </w:tc>
        <w:tc>
          <w:tcPr>
            <w:tcW w:w="3024" w:type="dxa"/>
          </w:tcPr>
          <w:p w14:paraId="25153E8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71B0820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2795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39D7941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化学制药</w:t>
            </w:r>
          </w:p>
        </w:tc>
        <w:tc>
          <w:tcPr>
            <w:tcW w:w="3024" w:type="dxa"/>
          </w:tcPr>
          <w:p w14:paraId="7BCF47E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43C8F44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35241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70A55CC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化工原料</w:t>
            </w:r>
          </w:p>
        </w:tc>
        <w:tc>
          <w:tcPr>
            <w:tcW w:w="3024" w:type="dxa"/>
          </w:tcPr>
          <w:p w14:paraId="46D0402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7EE8B29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5CD0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484D655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半导体</w:t>
            </w:r>
          </w:p>
        </w:tc>
        <w:tc>
          <w:tcPr>
            <w:tcW w:w="3024" w:type="dxa"/>
          </w:tcPr>
          <w:p w14:paraId="0276E44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31344FA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34EA0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6AC116F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专用机械</w:t>
            </w:r>
          </w:p>
        </w:tc>
        <w:tc>
          <w:tcPr>
            <w:tcW w:w="3024" w:type="dxa"/>
          </w:tcPr>
          <w:p w14:paraId="519B47D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7FE8A82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5F06D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59A6C7D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食品</w:t>
            </w:r>
          </w:p>
        </w:tc>
        <w:tc>
          <w:tcPr>
            <w:tcW w:w="3024" w:type="dxa"/>
          </w:tcPr>
          <w:p w14:paraId="3FAD4EF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3A7D2D5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52EF0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65AF6A7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汽车整车</w:t>
            </w:r>
          </w:p>
        </w:tc>
        <w:tc>
          <w:tcPr>
            <w:tcW w:w="3024" w:type="dxa"/>
          </w:tcPr>
          <w:p w14:paraId="6150254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6314132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4CDDF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44CE95A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白酒</w:t>
            </w:r>
          </w:p>
        </w:tc>
        <w:tc>
          <w:tcPr>
            <w:tcW w:w="3024" w:type="dxa"/>
          </w:tcPr>
          <w:p w14:paraId="0F65AE5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176B9C6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1FA43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1925D83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纺织</w:t>
            </w:r>
          </w:p>
        </w:tc>
        <w:tc>
          <w:tcPr>
            <w:tcW w:w="3024" w:type="dxa"/>
          </w:tcPr>
          <w:p w14:paraId="78524AF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459E133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488DC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090B829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农业综合</w:t>
            </w:r>
          </w:p>
        </w:tc>
        <w:tc>
          <w:tcPr>
            <w:tcW w:w="3024" w:type="dxa"/>
          </w:tcPr>
          <w:p w14:paraId="55468EE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</w:t>
            </w:r>
          </w:p>
        </w:tc>
        <w:tc>
          <w:tcPr>
            <w:tcW w:w="3024" w:type="dxa"/>
          </w:tcPr>
          <w:p w14:paraId="47C362D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2020—2023</w:t>
            </w:r>
          </w:p>
        </w:tc>
      </w:tr>
      <w:tr w14:paraId="2DD19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4" w:type="dxa"/>
          </w:tcPr>
          <w:p w14:paraId="2FE2F3A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合计</w:t>
            </w:r>
          </w:p>
        </w:tc>
        <w:tc>
          <w:tcPr>
            <w:tcW w:w="3024" w:type="dxa"/>
          </w:tcPr>
          <w:p w14:paraId="56FBDD0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60</w:t>
            </w:r>
          </w:p>
        </w:tc>
        <w:tc>
          <w:tcPr>
            <w:tcW w:w="3024" w:type="dxa"/>
          </w:tcPr>
          <w:p w14:paraId="2B1082B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—</w:t>
            </w:r>
          </w:p>
        </w:tc>
      </w:tr>
    </w:tbl>
    <w:p w14:paraId="073E6F90">
      <w:pPr>
        <w:spacing w:before="0" w:after="120" w:line="360" w:lineRule="auto"/>
        <w:ind w:firstLine="480"/>
      </w:pPr>
      <w:r>
        <w:rPr>
          <w:rFonts w:ascii="Times New Roman" w:hAnsi="Times New Roman" w:eastAsia="宋体" w:cs="宋体"/>
          <w:b w:val="0"/>
          <w:sz w:val="24"/>
        </w:rPr>
        <w:t>数据获取内容涵盖两大板块。第一板块为现金流量表数据，包括经营活动现金流净额、投资活动现金流净额、筹资活动现金流净额、自由现金流及期末现金及现金等价物共5个字段，全面反映企业在经营、投资与融资三大活动中的资金流动状况。第二板块为财务稳定性指标数据，包括流动比率、速动比率、现金比率、资产负债率、净资产收益率、总资产净利率、销售净利率、经营现金流量比率、EBITDA及总资产周转率共10个字段，从偿债能力、盈利能力与运营效率多维度刻画企业财务健康水平。两类数据通过股票代码与报告年度进行内连接合并，原始合并数据集共240条记录，各行业最终有效记录数分布如图1所示。</w:t>
      </w:r>
    </w:p>
    <w:p w14:paraId="76BDDDCC">
      <w:pPr>
        <w:spacing w:before="120" w:after="0" w:line="360" w:lineRule="auto"/>
        <w:jc w:val="center"/>
      </w:pPr>
      <w:r>
        <w:drawing>
          <wp:inline distT="0" distB="0" distL="114300" distR="114300">
            <wp:extent cx="5039995" cy="2208530"/>
            <wp:effectExtent l="0" t="0" r="825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20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43A55">
      <w:pPr>
        <w:spacing w:before="60" w:after="80" w:line="360" w:lineRule="auto"/>
        <w:jc w:val="center"/>
      </w:pPr>
      <w:r>
        <w:rPr>
          <w:rFonts w:ascii="Times New Roman" w:hAnsi="Times New Roman" w:eastAsia="宋体" w:cs="宋体"/>
          <w:b w:val="0"/>
          <w:sz w:val="21"/>
        </w:rPr>
        <w:t>图1  各行业最终有效记录数分布</w:t>
      </w:r>
    </w:p>
    <w:p w14:paraId="10A9F536">
      <w:pPr>
        <w:spacing w:before="0" w:after="120" w:line="360" w:lineRule="auto"/>
        <w:ind w:firstLine="480"/>
      </w:pPr>
      <w:r>
        <w:rPr>
          <w:rFonts w:ascii="Times New Roman" w:hAnsi="Times New Roman" w:eastAsia="宋体" w:cs="宋体"/>
          <w:b w:val="0"/>
          <w:sz w:val="24"/>
        </w:rPr>
        <w:t>核心数据获取代码如下。</w:t>
      </w:r>
    </w:p>
    <w:p w14:paraId="2B2E64DB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# 获取沪深A股上市公司列表</w:t>
      </w:r>
    </w:p>
    <w:p w14:paraId="33144411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stock_sse  = pro.stock_basic(exchange='SSE',  list_status='L', fields='ts_code,name,industry')</w:t>
      </w:r>
    </w:p>
    <w:p w14:paraId="279315AA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stock_szse = pro.stock_basic(exchange='SZSE', list_status='L', fields='ts_code,name,industry')</w:t>
      </w:r>
    </w:p>
    <w:p w14:paraId="27E7B7EF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stock_all  = pd.concat([stock_sse, stock_szse], ignore_index=True)</w:t>
      </w:r>
    </w:p>
    <w:p w14:paraId="40EC64C6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</w:t>
      </w:r>
    </w:p>
    <w:p w14:paraId="6D8EC101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# 每行业选取6家公司</w:t>
      </w:r>
    </w:p>
    <w:p w14:paraId="61A4E911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target_industries = ['银行', '化学制药', '化工原料', '半导体', '专用机械',</w:t>
      </w:r>
    </w:p>
    <w:p w14:paraId="1712B520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                 '食品', '汽车整车', '白酒', '纺织', '农业综合']</w:t>
      </w:r>
    </w:p>
    <w:p w14:paraId="1FA65EE4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sample_basic = stock_all[stock_all['industry'].isin(target_industries)]</w:t>
      </w:r>
    </w:p>
    <w:p w14:paraId="083CF816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sample_basic = sample_basic.groupby('industry').head(6).reset_index(drop=True)</w:t>
      </w:r>
    </w:p>
    <w:p w14:paraId="2ED25279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</w:t>
      </w:r>
    </w:p>
    <w:p w14:paraId="5243F27F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# 逐只获取现金流量数据</w:t>
      </w:r>
    </w:p>
    <w:p w14:paraId="2BCA6F1B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cashflow_list = []</w:t>
      </w:r>
    </w:p>
    <w:p w14:paraId="0766C336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for code in ts_codes:</w:t>
      </w:r>
    </w:p>
    <w:p w14:paraId="7199D127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df = pro.cashflow(ts_code=code, start_date='20200101', end_date='20241231',</w:t>
      </w:r>
    </w:p>
    <w:p w14:paraId="79519A5A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                  report_type='1',</w:t>
      </w:r>
    </w:p>
    <w:p w14:paraId="255B62FF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                  fields='ts_code,ann_date,end_date,n_cashflow_act,n_cashflow_inv,'</w:t>
      </w:r>
    </w:p>
    <w:p w14:paraId="7CEF31C3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                         'n_cash_flows_fnc_act,free_cashflow,c_cash_equ_end_period')</w:t>
      </w:r>
    </w:p>
    <w:p w14:paraId="7194117A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cashflow_list.append(df)</w:t>
      </w:r>
    </w:p>
    <w:p w14:paraId="4FAD8D03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cashflow_df = pd.concat(cashflow_list, ignore_index=True)</w:t>
      </w:r>
    </w:p>
    <w:p w14:paraId="7E2EADA7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cashflow_df = cashflow_df[cashflow_df['end_date'].str.endswith('1231')]</w:t>
      </w:r>
    </w:p>
    <w:p w14:paraId="56B1498D">
      <w:pPr>
        <w:spacing w:before="120" w:after="120" w:line="360" w:lineRule="auto"/>
      </w:pPr>
      <w:r>
        <w:rPr>
          <w:rFonts w:ascii="Times New Roman" w:hAnsi="Times New Roman" w:eastAsia="宋体" w:cs="宋体"/>
          <w:b/>
          <w:sz w:val="24"/>
        </w:rPr>
        <w:t>2.2  数据处理</w:t>
      </w:r>
    </w:p>
    <w:p w14:paraId="3C3EF7BB">
      <w:pPr>
        <w:spacing w:before="0" w:after="120" w:line="360" w:lineRule="auto"/>
        <w:ind w:firstLine="480"/>
      </w:pPr>
      <w:r>
        <w:rPr>
          <w:rFonts w:ascii="Times New Roman" w:hAnsi="Times New Roman" w:eastAsia="宋体" w:cs="宋体"/>
          <w:b w:val="0"/>
          <w:sz w:val="24"/>
        </w:rPr>
        <w:t>原始数据集在合并过程中存在重复记录、关键字段缺失及部分字段数据类型不一致等问题，同时个别公司的财务比率出现超出正常范围的极端值，若不加处理将对后续统计分析产生较大干扰。为此，本研究对原始数据依次开展五步系统化处理，以确保最终数据集的完整性、一致性与可靠性。</w:t>
      </w:r>
    </w:p>
    <w:p w14:paraId="20EA0DC3">
      <w:pPr>
        <w:spacing w:before="0" w:after="120" w:line="360" w:lineRule="auto"/>
        <w:ind w:firstLine="480"/>
      </w:pPr>
      <w:r>
        <w:rPr>
          <w:rFonts w:ascii="Times New Roman" w:hAnsi="Times New Roman" w:eastAsia="宋体" w:cs="宋体"/>
          <w:b w:val="0"/>
          <w:sz w:val="24"/>
        </w:rPr>
        <w:t>第一步为重复记录清理，以股票代码与报告年度作为联合主键，删除因数据合并产生的重复记录，确保每家公司在每个报告年度仅保留唯一一条有效年报数据。第二步为缺失值处理，对经营活动现金流净额、流动比率、资产负债率及净资产收益率等核心字段有缺失的记录整行删除，共删除24条；对其余数值型字段的少量缺失值，采用该字段全样本中位数进行填充，在维持样本规模的同时保留数据的分布特征。第三步为数据类型统一，所有数值型字段统一转换为float64格式，报告年度与公告日期字段统一转换为datetime64格式，确保后续统计运算不因数据类型差异而产生错误。</w:t>
      </w:r>
    </w:p>
    <w:p w14:paraId="430971F7">
      <w:pPr>
        <w:spacing w:before="0" w:after="120" w:line="360" w:lineRule="auto"/>
        <w:ind w:firstLine="480"/>
      </w:pPr>
      <w:r>
        <w:rPr>
          <w:rFonts w:ascii="Times New Roman" w:hAnsi="Times New Roman" w:eastAsia="宋体" w:cs="宋体"/>
          <w:b w:val="0"/>
          <w:sz w:val="24"/>
        </w:rPr>
        <w:t>第四步为异常值处理，对流动比率、速动比率、资产负债率、净资产收益率及总资产净利率5项核心指标，采用3倍标准差方法识别并剔除极端异常值，以样本均值加减3倍样本标准差作为筛选边界，保留满足公式1条件的观测值，共剔除19条记录。</w:t>
      </w:r>
    </w:p>
    <w:p w14:paraId="7840FA66">
      <w:pPr>
        <w:spacing w:before="120" w:after="80" w:line="360" w:lineRule="auto"/>
        <w:jc w:val="center"/>
      </w:pPr>
      <m:oMathPara>
        <m:oMath>
          <m:r>
            <m:rPr/>
            <m:t xml:space="preserve">μ − 3σ ≤ </m:t>
          </m:r>
          <m:sSub>
            <m:sSubPr/>
            <m:e>
              <m:r>
                <m:rPr/>
                <m:t>x</m:t>
              </m:r>
            </m:e>
            <m:sub>
              <m:r>
                <m:rPr/>
                <m:t>i</m:t>
              </m:r>
            </m:sub>
          </m:sSub>
          <m:r>
            <m:rPr/>
            <m:t xml:space="preserve"> ≤ μ + 3σ</m:t>
          </m:r>
        </m:oMath>
      </m:oMathPara>
    </w:p>
    <w:p w14:paraId="7A9ED9D2">
      <w:pPr>
        <w:spacing w:before="60" w:after="80" w:line="360" w:lineRule="auto"/>
        <w:jc w:val="center"/>
      </w:pPr>
      <w:r>
        <w:rPr>
          <w:rFonts w:ascii="Times New Roman" w:hAnsi="Times New Roman" w:eastAsia="宋体" w:cs="宋体"/>
          <w:b w:val="0"/>
          <w:sz w:val="21"/>
        </w:rPr>
        <w:t>公式1  3倍标准差异常值筛选条件</w:t>
      </w:r>
    </w:p>
    <w:p w14:paraId="2BAF607C">
      <w:pPr>
        <w:spacing w:before="0" w:after="120" w:line="360" w:lineRule="auto"/>
        <w:ind w:firstLine="480"/>
      </w:pPr>
      <w:r>
        <w:rPr>
          <w:rFonts w:ascii="Times New Roman" w:hAnsi="Times New Roman" w:eastAsia="宋体" w:cs="宋体"/>
          <w:b w:val="0"/>
          <w:sz w:val="24"/>
        </w:rPr>
        <w:t>第五步为数据标准化，将现金流量相关字段及EBITDA字段由元转换为亿元，便于后续图表的直观呈现；同时将全部字段统一重命名为规范中文名称，提升数据集的可读性。经上述五步处理后，最终有效数据集共197条记录，涵盖9个行业52家上市公司2020年至2023年的年度财务数据，字段总数19个，各主要变量的含义与来源见表2。</w:t>
      </w:r>
    </w:p>
    <w:p w14:paraId="16E0FF3A">
      <w:pPr>
        <w:spacing w:before="60" w:after="80" w:line="360" w:lineRule="auto"/>
        <w:jc w:val="center"/>
      </w:pPr>
      <w:r>
        <w:rPr>
          <w:rFonts w:ascii="Times New Roman" w:hAnsi="Times New Roman" w:eastAsia="宋体" w:cs="宋体"/>
          <w:b w:val="0"/>
          <w:sz w:val="21"/>
        </w:rPr>
        <w:t>表2  主要变量说明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268"/>
        <w:gridCol w:w="2268"/>
        <w:gridCol w:w="2268"/>
      </w:tblGrid>
      <w:tr w14:paraId="30B0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46343D7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/>
                <w:sz w:val="21"/>
              </w:rPr>
              <w:t>变量名称</w:t>
            </w:r>
          </w:p>
        </w:tc>
        <w:tc>
          <w:tcPr>
            <w:tcW w:w="2268" w:type="dxa"/>
          </w:tcPr>
          <w:p w14:paraId="7949FA5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/>
                <w:sz w:val="21"/>
              </w:rPr>
              <w:t>字段来源</w:t>
            </w:r>
          </w:p>
        </w:tc>
        <w:tc>
          <w:tcPr>
            <w:tcW w:w="2268" w:type="dxa"/>
          </w:tcPr>
          <w:p w14:paraId="3442AC4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/>
                <w:sz w:val="21"/>
              </w:rPr>
              <w:t>单位</w:t>
            </w:r>
          </w:p>
        </w:tc>
        <w:tc>
          <w:tcPr>
            <w:tcW w:w="2268" w:type="dxa"/>
          </w:tcPr>
          <w:p w14:paraId="5C28349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/>
                <w:sz w:val="21"/>
              </w:rPr>
              <w:t>含义</w:t>
            </w:r>
          </w:p>
        </w:tc>
      </w:tr>
      <w:tr w14:paraId="6EA9A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78FBD86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经营活动现金流净额</w:t>
            </w:r>
          </w:p>
        </w:tc>
        <w:tc>
          <w:tcPr>
            <w:tcW w:w="2268" w:type="dxa"/>
          </w:tcPr>
          <w:p w14:paraId="70A3930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现金流量表</w:t>
            </w:r>
          </w:p>
        </w:tc>
        <w:tc>
          <w:tcPr>
            <w:tcW w:w="2268" w:type="dxa"/>
          </w:tcPr>
          <w:p w14:paraId="0C873B9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亿元</w:t>
            </w:r>
          </w:p>
        </w:tc>
        <w:tc>
          <w:tcPr>
            <w:tcW w:w="2268" w:type="dxa"/>
          </w:tcPr>
          <w:p w14:paraId="5DE966D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经营活动产生的净现金流量</w:t>
            </w:r>
          </w:p>
        </w:tc>
      </w:tr>
      <w:tr w14:paraId="779FC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3022070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投资活动现金流净额</w:t>
            </w:r>
          </w:p>
        </w:tc>
        <w:tc>
          <w:tcPr>
            <w:tcW w:w="2268" w:type="dxa"/>
          </w:tcPr>
          <w:p w14:paraId="2F76178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现金流量表</w:t>
            </w:r>
          </w:p>
        </w:tc>
        <w:tc>
          <w:tcPr>
            <w:tcW w:w="2268" w:type="dxa"/>
          </w:tcPr>
          <w:p w14:paraId="125D760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亿元</w:t>
            </w:r>
          </w:p>
        </w:tc>
        <w:tc>
          <w:tcPr>
            <w:tcW w:w="2268" w:type="dxa"/>
          </w:tcPr>
          <w:p w14:paraId="4D462A8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投资活动净现金变动</w:t>
            </w:r>
          </w:p>
        </w:tc>
      </w:tr>
      <w:tr w14:paraId="3AA87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5D95B0D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筹资活动现金流净额</w:t>
            </w:r>
          </w:p>
        </w:tc>
        <w:tc>
          <w:tcPr>
            <w:tcW w:w="2268" w:type="dxa"/>
          </w:tcPr>
          <w:p w14:paraId="070A14A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现金流量表</w:t>
            </w:r>
          </w:p>
        </w:tc>
        <w:tc>
          <w:tcPr>
            <w:tcW w:w="2268" w:type="dxa"/>
          </w:tcPr>
          <w:p w14:paraId="229F65D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亿元</w:t>
            </w:r>
          </w:p>
        </w:tc>
        <w:tc>
          <w:tcPr>
            <w:tcW w:w="2268" w:type="dxa"/>
          </w:tcPr>
          <w:p w14:paraId="7E07AF9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融资活动净现金变动</w:t>
            </w:r>
          </w:p>
        </w:tc>
      </w:tr>
      <w:tr w14:paraId="54ABC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5C646ED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自由现金流</w:t>
            </w:r>
          </w:p>
        </w:tc>
        <w:tc>
          <w:tcPr>
            <w:tcW w:w="2268" w:type="dxa"/>
          </w:tcPr>
          <w:p w14:paraId="35960E1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现金流量表</w:t>
            </w:r>
          </w:p>
        </w:tc>
        <w:tc>
          <w:tcPr>
            <w:tcW w:w="2268" w:type="dxa"/>
          </w:tcPr>
          <w:p w14:paraId="5415D1B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亿元</w:t>
            </w:r>
          </w:p>
        </w:tc>
        <w:tc>
          <w:tcPr>
            <w:tcW w:w="2268" w:type="dxa"/>
          </w:tcPr>
          <w:p w14:paraId="7D9314A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可自由支配的现金流量</w:t>
            </w:r>
          </w:p>
        </w:tc>
      </w:tr>
      <w:tr w14:paraId="39FFE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2C8A4C7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期末现金及现金等价物</w:t>
            </w:r>
          </w:p>
        </w:tc>
        <w:tc>
          <w:tcPr>
            <w:tcW w:w="2268" w:type="dxa"/>
          </w:tcPr>
          <w:p w14:paraId="3C936AE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现金流量表</w:t>
            </w:r>
          </w:p>
        </w:tc>
        <w:tc>
          <w:tcPr>
            <w:tcW w:w="2268" w:type="dxa"/>
          </w:tcPr>
          <w:p w14:paraId="4011D4E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亿元</w:t>
            </w:r>
          </w:p>
        </w:tc>
        <w:tc>
          <w:tcPr>
            <w:tcW w:w="2268" w:type="dxa"/>
          </w:tcPr>
          <w:p w14:paraId="35E1A06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报告期末现金储备规模</w:t>
            </w:r>
          </w:p>
        </w:tc>
      </w:tr>
      <w:tr w14:paraId="21609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02150ED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流动比率</w:t>
            </w:r>
          </w:p>
        </w:tc>
        <w:tc>
          <w:tcPr>
            <w:tcW w:w="2268" w:type="dxa"/>
          </w:tcPr>
          <w:p w14:paraId="3AD5DF4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财务指标</w:t>
            </w:r>
          </w:p>
        </w:tc>
        <w:tc>
          <w:tcPr>
            <w:tcW w:w="2268" w:type="dxa"/>
          </w:tcPr>
          <w:p w14:paraId="7E17BB7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—</w:t>
            </w:r>
          </w:p>
        </w:tc>
        <w:tc>
          <w:tcPr>
            <w:tcW w:w="2268" w:type="dxa"/>
          </w:tcPr>
          <w:p w14:paraId="594C264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短期偿债能力核心指标</w:t>
            </w:r>
          </w:p>
        </w:tc>
      </w:tr>
      <w:tr w14:paraId="20A2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42912C1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速动比率</w:t>
            </w:r>
          </w:p>
        </w:tc>
        <w:tc>
          <w:tcPr>
            <w:tcW w:w="2268" w:type="dxa"/>
          </w:tcPr>
          <w:p w14:paraId="44FDBED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财务指标</w:t>
            </w:r>
          </w:p>
        </w:tc>
        <w:tc>
          <w:tcPr>
            <w:tcW w:w="2268" w:type="dxa"/>
          </w:tcPr>
          <w:p w14:paraId="7ADC198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—</w:t>
            </w:r>
          </w:p>
        </w:tc>
        <w:tc>
          <w:tcPr>
            <w:tcW w:w="2268" w:type="dxa"/>
          </w:tcPr>
          <w:p w14:paraId="17BF6C3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剔除存货后的短期偿债能力</w:t>
            </w:r>
          </w:p>
        </w:tc>
      </w:tr>
      <w:tr w14:paraId="46873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AC33F7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资产负债率</w:t>
            </w:r>
          </w:p>
        </w:tc>
        <w:tc>
          <w:tcPr>
            <w:tcW w:w="2268" w:type="dxa"/>
          </w:tcPr>
          <w:p w14:paraId="12BA1D2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财务指标</w:t>
            </w:r>
          </w:p>
        </w:tc>
        <w:tc>
          <w:tcPr>
            <w:tcW w:w="2268" w:type="dxa"/>
          </w:tcPr>
          <w:p w14:paraId="2CB02E9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%</w:t>
            </w:r>
          </w:p>
        </w:tc>
        <w:tc>
          <w:tcPr>
            <w:tcW w:w="2268" w:type="dxa"/>
          </w:tcPr>
          <w:p w14:paraId="23D90CA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综合负债水平衡量指标</w:t>
            </w:r>
          </w:p>
        </w:tc>
      </w:tr>
      <w:tr w14:paraId="387A1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251816F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净资产收益率</w:t>
            </w:r>
          </w:p>
        </w:tc>
        <w:tc>
          <w:tcPr>
            <w:tcW w:w="2268" w:type="dxa"/>
          </w:tcPr>
          <w:p w14:paraId="3F6ECCE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财务指标</w:t>
            </w:r>
          </w:p>
        </w:tc>
        <w:tc>
          <w:tcPr>
            <w:tcW w:w="2268" w:type="dxa"/>
          </w:tcPr>
          <w:p w14:paraId="0785F24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%</w:t>
            </w:r>
          </w:p>
        </w:tc>
        <w:tc>
          <w:tcPr>
            <w:tcW w:w="2268" w:type="dxa"/>
          </w:tcPr>
          <w:p w14:paraId="2B84260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股东权益获利能力</w:t>
            </w:r>
          </w:p>
        </w:tc>
      </w:tr>
      <w:tr w14:paraId="3C51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4B18DAB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总资产净利率</w:t>
            </w:r>
          </w:p>
        </w:tc>
        <w:tc>
          <w:tcPr>
            <w:tcW w:w="2268" w:type="dxa"/>
          </w:tcPr>
          <w:p w14:paraId="4543807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财务指标</w:t>
            </w:r>
          </w:p>
        </w:tc>
        <w:tc>
          <w:tcPr>
            <w:tcW w:w="2268" w:type="dxa"/>
          </w:tcPr>
          <w:p w14:paraId="5E18C44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%</w:t>
            </w:r>
          </w:p>
        </w:tc>
        <w:tc>
          <w:tcPr>
            <w:tcW w:w="2268" w:type="dxa"/>
          </w:tcPr>
          <w:p w14:paraId="4002009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资产综合盈利能力</w:t>
            </w:r>
          </w:p>
        </w:tc>
      </w:tr>
      <w:tr w14:paraId="3AB6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86FE38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总资产周转率</w:t>
            </w:r>
          </w:p>
        </w:tc>
        <w:tc>
          <w:tcPr>
            <w:tcW w:w="2268" w:type="dxa"/>
          </w:tcPr>
          <w:p w14:paraId="5EEFE13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财务指标</w:t>
            </w:r>
          </w:p>
        </w:tc>
        <w:tc>
          <w:tcPr>
            <w:tcW w:w="2268" w:type="dxa"/>
          </w:tcPr>
          <w:p w14:paraId="679524E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次</w:t>
            </w:r>
          </w:p>
        </w:tc>
        <w:tc>
          <w:tcPr>
            <w:tcW w:w="2268" w:type="dxa"/>
          </w:tcPr>
          <w:p w14:paraId="26F3EE5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资产使用效率指标</w:t>
            </w:r>
          </w:p>
        </w:tc>
      </w:tr>
      <w:tr w14:paraId="7C71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2C3DD05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EBITDA</w:t>
            </w:r>
          </w:p>
        </w:tc>
        <w:tc>
          <w:tcPr>
            <w:tcW w:w="2268" w:type="dxa"/>
          </w:tcPr>
          <w:p w14:paraId="78D18E7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财务指标</w:t>
            </w:r>
          </w:p>
        </w:tc>
        <w:tc>
          <w:tcPr>
            <w:tcW w:w="2268" w:type="dxa"/>
          </w:tcPr>
          <w:p w14:paraId="72ECA1E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亿元</w:t>
            </w:r>
          </w:p>
        </w:tc>
        <w:tc>
          <w:tcPr>
            <w:tcW w:w="2268" w:type="dxa"/>
          </w:tcPr>
          <w:p w14:paraId="28C889B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 w:cs="宋体"/>
                <w:b w:val="0"/>
                <w:sz w:val="21"/>
              </w:rPr>
              <w:t>息税折旧摊销前利润</w:t>
            </w:r>
          </w:p>
        </w:tc>
      </w:tr>
    </w:tbl>
    <w:p w14:paraId="414B4674">
      <w:pPr>
        <w:spacing w:before="0" w:after="120" w:line="360" w:lineRule="auto"/>
        <w:ind w:firstLine="480"/>
      </w:pPr>
      <w:r>
        <w:rPr>
          <w:rFonts w:ascii="Times New Roman" w:hAnsi="Times New Roman" w:eastAsia="宋体" w:cs="宋体"/>
          <w:b w:val="0"/>
          <w:sz w:val="24"/>
        </w:rPr>
        <w:t>数据处理核心代码如下。</w:t>
      </w:r>
    </w:p>
    <w:p w14:paraId="32C971A9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# 1. 去重</w:t>
      </w:r>
    </w:p>
    <w:p w14:paraId="1F746FA7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df = df.drop_duplicates(subset=['ts_code', 'end_date'])</w:t>
      </w:r>
    </w:p>
    <w:p w14:paraId="68B6520D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</w:t>
      </w:r>
    </w:p>
    <w:p w14:paraId="07B776C6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# 2. 删除关键字段缺失行，其余用中位数填充</w:t>
      </w:r>
    </w:p>
    <w:p w14:paraId="2D9A2B27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df = df.dropna(subset=['n_cashflow_act', 'current_ratio', 'debt_to_assets', 'roe'])</w:t>
      </w:r>
    </w:p>
    <w:p w14:paraId="06CC049D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for col in df.select_dtypes(include='number').columns:</w:t>
      </w:r>
    </w:p>
    <w:p w14:paraId="37FEDE90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df[col] = df[col].fillna(df[col].median())</w:t>
      </w:r>
    </w:p>
    <w:p w14:paraId="5B8E8A50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</w:t>
      </w:r>
    </w:p>
    <w:p w14:paraId="50EEC16E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# 3. 统一数据类型</w:t>
      </w:r>
    </w:p>
    <w:p w14:paraId="720A8990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for col in num_cols:</w:t>
      </w:r>
    </w:p>
    <w:p w14:paraId="1FAC4661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if col in df.columns:</w:t>
      </w:r>
    </w:p>
    <w:p w14:paraId="37214ABB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    df[col] = pd.to_numeric(df[col], errors='coerce')</w:t>
      </w:r>
    </w:p>
    <w:p w14:paraId="7DDBE949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df['end_date'] = pd.to_datetime(df['end_date'], format='%Y%m%d')</w:t>
      </w:r>
    </w:p>
    <w:p w14:paraId="7FA8F6A1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</w:t>
      </w:r>
    </w:p>
    <w:p w14:paraId="20C37709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# 4. 3倍标准差去异常值</w:t>
      </w:r>
    </w:p>
    <w:p w14:paraId="71C0B4B3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for col in ['current_ratio', 'quick_ratio', 'debt_to_assets', 'roe', </w:t>
      </w:r>
      <w:bookmarkStart w:id="0" w:name="_GoBack"/>
      <w:bookmarkEnd w:id="0"/>
      <w:r>
        <w:rPr>
          <w:rFonts w:ascii="Consolas" w:hAnsi="Consolas" w:eastAsia="Consolas" w:cs="Consolas"/>
          <w:sz w:val="20"/>
        </w:rPr>
        <w:t>'roa']:</w:t>
      </w:r>
    </w:p>
    <w:p w14:paraId="064F3E8D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if col in df.columns:</w:t>
      </w:r>
    </w:p>
    <w:p w14:paraId="15037E58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    mean, std = df[col].mean(), df[col].std()</w:t>
      </w:r>
    </w:p>
    <w:p w14:paraId="0F2938FB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    df = df[(df[col] &gt;= mean - 3*std) &amp; (df[col] &lt;= mean + 3*std)]</w:t>
      </w:r>
    </w:p>
    <w:p w14:paraId="16260763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</w:t>
      </w:r>
    </w:p>
    <w:p w14:paraId="62098693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# 5. 单位换算（元→亿元）并重命名字段</w:t>
      </w:r>
    </w:p>
    <w:p w14:paraId="17AFA3D0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for col in cash_cols:</w:t>
      </w:r>
    </w:p>
    <w:p w14:paraId="4269AA2F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if col in df.columns:</w:t>
      </w:r>
    </w:p>
    <w:p w14:paraId="188B1FF3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 xml:space="preserve">        df[col] = (df[col] / 1e8).round(4)</w:t>
      </w:r>
    </w:p>
    <w:p w14:paraId="364C84A2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df = df.rename(columns=rename_map)</w:t>
      </w:r>
    </w:p>
    <w:p w14:paraId="07674C42">
      <w:pPr>
        <w:spacing w:before="0" w:after="0" w:line="288" w:lineRule="auto"/>
        <w:ind w:left="283" w:firstLine="0"/>
      </w:pPr>
      <w:r>
        <w:rPr>
          <w:rFonts w:ascii="Consolas" w:hAnsi="Consolas" w:eastAsia="Consolas" w:cs="Consolas"/>
          <w:sz w:val="20"/>
        </w:rPr>
        <w:t>df.to_csv('cash_flow_data.csv', index=False, encoding='utf-8-sig')</w:t>
      </w:r>
    </w:p>
    <w:sectPr>
      <w:footerReference r:id="rId5" w:type="default"/>
      <w:pgSz w:w="11906" w:h="16838"/>
      <w:pgMar w:top="1417" w:right="1417" w:bottom="1417" w:left="1417" w:header="720" w:footer="720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AF2A8">
    <w:pPr>
      <w:pStyle w:val="24"/>
      <w:jc w:val="center"/>
    </w:pPr>
    <w:r>
      <w:rPr>
        <w:rFonts w:ascii="Times New Roman" w:hAnsi="Times New Roman"/>
        <w:sz w:val="21"/>
      </w:rPr>
      <w:fldChar w:fldCharType="begin"/>
    </w:r>
    <w:r>
      <w:rPr>
        <w:rFonts w:ascii="Times New Roman" w:hAnsi="Times New Roman"/>
        <w:sz w:val="21"/>
      </w:rPr>
      <w:instrText xml:space="preserve">PAGE</w:instrText>
    </w:r>
    <w:r>
      <w:rPr>
        <w:rFonts w:ascii="Times New Roman" w:hAnsi="Times New Roman"/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243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1554</Words>
  <Characters>2469</Characters>
  <Lines>0</Lines>
  <Paragraphs>0</Paragraphs>
  <TotalTime>0</TotalTime>
  <ScaleCrop>false</ScaleCrop>
  <LinksUpToDate>false</LinksUpToDate>
  <CharactersWithSpaces>2662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2026-04-06T12:39:46Z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2052-12.1.0.25225</vt:lpwstr>
  </property>
  <property fmtid="{D5CDD505-2E9C-101B-9397-08002B2CF9AE}" pid="4" name="ICV">
    <vt:lpwstr>2254E27381904ADAA35F355E12837204_12</vt:lpwstr>
  </property>
</Properties>
</file>