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F31DB">
      <w:pPr>
        <w:rPr>
          <w:color w:val="auto"/>
        </w:rPr>
      </w:pPr>
      <w:r>
        <w:rPr>
          <w:color w:val="auto"/>
        </w:rPr>
        <w:t xml:space="preserve"> </w:t>
      </w:r>
    </w:p>
    <w:p w14:paraId="518BE077">
      <w:pPr>
        <w:rPr>
          <w:color w:val="auto"/>
        </w:rPr>
      </w:pPr>
      <w:r>
        <w:rPr>
          <w:color w:val="auto"/>
        </w:rPr>
        <w:t xml:space="preserve"> </w:t>
      </w:r>
    </w:p>
    <w:p w14:paraId="2E66B649">
      <w:pPr>
        <w:rPr>
          <w:color w:val="auto"/>
        </w:rPr>
      </w:pPr>
      <w:r>
        <w:rPr>
          <w:color w:val="auto"/>
        </w:rPr>
        <w:t xml:space="preserve"> </w:t>
      </w:r>
    </w:p>
    <w:p w14:paraId="5E3C7902">
      <w:pPr>
        <w:spacing w:before="200" w:after="200"/>
        <w:jc w:val="center"/>
        <w:rPr>
          <w:color w:val="auto"/>
        </w:rPr>
      </w:pPr>
      <w:r>
        <w:rPr>
          <w:rFonts w:ascii="黑体" w:hAnsi="黑体" w:eastAsia="黑体" w:cs="黑体"/>
          <w:b/>
          <w:bCs/>
          <w:color w:val="auto"/>
          <w:sz w:val="44"/>
          <w:szCs w:val="44"/>
        </w:rPr>
        <w:t>数据分析报告</w:t>
      </w:r>
    </w:p>
    <w:p w14:paraId="0F62B799">
      <w:pPr>
        <w:rPr>
          <w:color w:val="auto"/>
        </w:rPr>
      </w:pPr>
      <w:r>
        <w:rPr>
          <w:color w:val="auto"/>
        </w:rPr>
        <w:t xml:space="preserve"> </w:t>
      </w:r>
    </w:p>
    <w:p w14:paraId="6499E8AB">
      <w:pPr>
        <w:rPr>
          <w:color w:val="auto"/>
        </w:rPr>
      </w:pPr>
      <w:r>
        <w:rPr>
          <w:color w:val="auto"/>
        </w:rPr>
        <w:t xml:space="preserve"> </w:t>
      </w:r>
    </w:p>
    <w:p w14:paraId="2DF1B1A3">
      <w:pPr>
        <w:spacing w:before="240" w:after="240"/>
        <w:jc w:val="center"/>
        <w:rPr>
          <w:color w:val="auto"/>
        </w:rPr>
      </w:pPr>
      <w:r>
        <w:rPr>
          <w:rFonts w:ascii="黑体" w:hAnsi="黑体" w:eastAsia="黑体" w:cs="黑体"/>
          <w:b/>
          <w:bCs/>
          <w:color w:val="auto"/>
          <w:sz w:val="56"/>
          <w:szCs w:val="56"/>
        </w:rPr>
        <w:t>现金流管理对企业财务</w:t>
      </w:r>
    </w:p>
    <w:p w14:paraId="4264F7A5">
      <w:pPr>
        <w:spacing w:before="240" w:after="240"/>
        <w:jc w:val="center"/>
        <w:rPr>
          <w:color w:val="auto"/>
        </w:rPr>
      </w:pPr>
      <w:r>
        <w:rPr>
          <w:rFonts w:ascii="黑体" w:hAnsi="黑体" w:eastAsia="黑体" w:cs="黑体"/>
          <w:b/>
          <w:bCs/>
          <w:color w:val="auto"/>
          <w:sz w:val="56"/>
          <w:szCs w:val="56"/>
        </w:rPr>
        <w:t>稳定性的影响分析</w:t>
      </w:r>
    </w:p>
    <w:p w14:paraId="679BCF59">
      <w:pPr>
        <w:rPr>
          <w:color w:val="auto"/>
        </w:rPr>
      </w:pPr>
      <w:r>
        <w:rPr>
          <w:color w:val="auto"/>
        </w:rPr>
        <w:t xml:space="preserve"> </w:t>
      </w:r>
    </w:p>
    <w:p w14:paraId="313D1D7F">
      <w:pPr>
        <w:rPr>
          <w:color w:val="auto"/>
        </w:rPr>
      </w:pPr>
      <w:r>
        <w:rPr>
          <w:color w:val="auto"/>
        </w:rPr>
        <w:t xml:space="preserve"> </w:t>
      </w:r>
    </w:p>
    <w:p w14:paraId="084B353F">
      <w:pPr>
        <w:spacing w:before="200" w:after="200"/>
        <w:jc w:val="center"/>
        <w:rPr>
          <w:color w:val="auto"/>
        </w:rPr>
      </w:pPr>
      <w:r>
        <w:rPr>
          <w:rFonts w:ascii="宋体" w:hAnsi="宋体" w:eastAsia="宋体" w:cs="宋体"/>
          <w:color w:val="auto"/>
          <w:sz w:val="28"/>
          <w:szCs w:val="28"/>
        </w:rPr>
        <w:t>——基于 A 股 9 大行业 60 家上市公司 2020—2023 年面板数据</w:t>
      </w:r>
    </w:p>
    <w:p w14:paraId="716C4B37">
      <w:pPr>
        <w:rPr>
          <w:color w:val="auto"/>
        </w:rPr>
      </w:pPr>
      <w:r>
        <w:rPr>
          <w:color w:val="auto"/>
        </w:rPr>
        <w:t xml:space="preserve"> </w:t>
      </w:r>
    </w:p>
    <w:p w14:paraId="334F809B">
      <w:pPr>
        <w:rPr>
          <w:color w:val="auto"/>
        </w:rPr>
      </w:pPr>
      <w:r>
        <w:rPr>
          <w:color w:val="auto"/>
        </w:rPr>
        <w:t xml:space="preserve"> </w:t>
      </w:r>
    </w:p>
    <w:p w14:paraId="4BD9D695">
      <w:pPr>
        <w:rPr>
          <w:color w:val="auto"/>
        </w:rPr>
      </w:pPr>
      <w:r>
        <w:rPr>
          <w:color w:val="auto"/>
        </w:rPr>
        <w:t xml:space="preserve"> </w:t>
      </w:r>
    </w:p>
    <w:p w14:paraId="3FEBA37E">
      <w:pPr>
        <w:rPr>
          <w:color w:val="auto"/>
        </w:rPr>
      </w:pPr>
      <w:r>
        <w:rPr>
          <w:color w:val="auto"/>
        </w:rPr>
        <w:t xml:space="preserve"> </w:t>
      </w:r>
    </w:p>
    <w:p w14:paraId="0F29D2F5">
      <w:pPr>
        <w:rPr>
          <w:color w:val="auto"/>
        </w:rPr>
      </w:pPr>
      <w:r>
        <w:rPr>
          <w:color w:val="auto"/>
        </w:rPr>
        <w:t xml:space="preserve"> </w:t>
      </w:r>
    </w:p>
    <w:p w14:paraId="1795E422">
      <w:pPr>
        <w:spacing w:before="120" w:after="120"/>
        <w:jc w:val="center"/>
        <w:rPr>
          <w:color w:val="auto"/>
        </w:rPr>
      </w:pPr>
      <w:r>
        <w:rPr>
          <w:rFonts w:ascii="宋体" w:hAnsi="宋体" w:eastAsia="宋体" w:cs="宋体"/>
          <w:color w:val="auto"/>
          <w:sz w:val="28"/>
          <w:szCs w:val="28"/>
        </w:rPr>
        <w:t>小  组  名  称：________________________</w:t>
      </w:r>
    </w:p>
    <w:p w14:paraId="3431528F">
      <w:pPr>
        <w:spacing w:before="120" w:after="120"/>
        <w:jc w:val="center"/>
        <w:rPr>
          <w:color w:val="auto"/>
        </w:rPr>
      </w:pPr>
      <w:r>
        <w:rPr>
          <w:rFonts w:ascii="宋体" w:hAnsi="宋体" w:eastAsia="宋体" w:cs="宋体"/>
          <w:color w:val="auto"/>
          <w:sz w:val="28"/>
          <w:szCs w:val="28"/>
        </w:rPr>
        <w:t>小  组  成  员：________________________</w:t>
      </w:r>
    </w:p>
    <w:p w14:paraId="64B3796E">
      <w:pPr>
        <w:spacing w:before="120" w:after="120"/>
        <w:jc w:val="center"/>
        <w:rPr>
          <w:color w:val="auto"/>
        </w:rPr>
      </w:pPr>
      <w:r>
        <w:rPr>
          <w:rFonts w:ascii="宋体" w:hAnsi="宋体" w:eastAsia="宋体" w:cs="宋体"/>
          <w:color w:val="auto"/>
          <w:sz w:val="28"/>
          <w:szCs w:val="28"/>
        </w:rPr>
        <w:t>指  导  教  师：________________________</w:t>
      </w:r>
    </w:p>
    <w:p w14:paraId="4FBB4F97">
      <w:pPr>
        <w:spacing w:before="120" w:after="120"/>
        <w:jc w:val="center"/>
        <w:rPr>
          <w:color w:val="auto"/>
        </w:rPr>
      </w:pPr>
      <w:r>
        <w:rPr>
          <w:rFonts w:ascii="宋体" w:hAnsi="宋体" w:eastAsia="宋体" w:cs="宋体"/>
          <w:color w:val="auto"/>
          <w:sz w:val="28"/>
          <w:szCs w:val="28"/>
        </w:rPr>
        <w:t>完  成  日  期：________________________</w:t>
      </w:r>
    </w:p>
    <w:p w14:paraId="1B79A935">
      <w:pPr>
        <w:rPr>
          <w:color w:val="auto"/>
        </w:rPr>
        <w:sectPr>
          <w:pgSz w:w="11906" w:h="16838"/>
          <w:pgMar w:top="1800" w:right="1440" w:bottom="1800" w:left="1440" w:header="720" w:footer="720" w:gutter="0"/>
          <w:cols w:space="720" w:num="1"/>
          <w:docGrid w:linePitch="360" w:charSpace="0"/>
        </w:sectPr>
      </w:pPr>
    </w:p>
    <w:p w14:paraId="421C7BC9">
      <w:pPr>
        <w:pageBreakBefore/>
        <w:spacing w:before="240" w:after="480"/>
        <w:jc w:val="center"/>
        <w:rPr>
          <w:color w:val="auto"/>
        </w:rPr>
      </w:pPr>
      <w:r>
        <w:rPr>
          <w:rFonts w:ascii="黑体" w:hAnsi="黑体" w:eastAsia="黑体" w:cs="黑体"/>
          <w:b/>
          <w:bCs/>
          <w:color w:val="auto"/>
          <w:sz w:val="36"/>
          <w:szCs w:val="36"/>
        </w:rPr>
        <w:t>目    录</w:t>
      </w:r>
    </w:p>
    <w:sdt>
      <w:sdtPr>
        <w:rPr>
          <w:color w:val="auto"/>
        </w:rPr>
        <w:alias w:val="Table of Contents"/>
        <w:id w:val="147464617"/>
      </w:sdtPr>
      <w:sdtEndPr>
        <w:rPr>
          <w:color w:val="auto"/>
        </w:rPr>
      </w:sdtEndPr>
      <w:sdtContent>
        <w:p w14:paraId="2494CA6A">
          <w:pPr>
            <w:rPr>
              <w:rFonts w:ascii="宋体" w:hAnsi="宋体" w:eastAsia="宋体" w:cs="宋体"/>
              <w:color w:val="auto"/>
              <w:sz w:val="24"/>
              <w:szCs w:val="24"/>
            </w:rPr>
          </w:pPr>
          <w:r>
            <w:rPr>
              <w:color w:val="auto"/>
            </w:rPr>
            <w:fldChar w:fldCharType="begin"/>
          </w:r>
          <w:r>
            <w:rPr>
              <w:color w:val="auto"/>
            </w:rPr>
            <w:instrText xml:space="preserve">TOC \h \o "1-3" \t "Heading1,1,Heading2,2,Heading3,3"</w:instrText>
          </w:r>
          <w:r>
            <w:rPr>
              <w:color w:val="auto"/>
            </w:rPr>
            <w:fldChar w:fldCharType="separate"/>
          </w:r>
        </w:p>
        <w:p w14:paraId="34D50737">
          <w:pPr>
            <w:pStyle w:val="10"/>
            <w:tabs>
              <w:tab w:val="right" w:leader="dot" w:pos="9026"/>
            </w:tabs>
            <w:rPr>
              <w:color w:val="auto"/>
            </w:rPr>
          </w:pPr>
          <w:r>
            <w:rPr>
              <w:color w:val="auto"/>
            </w:rPr>
            <w:fldChar w:fldCharType="begin"/>
          </w:r>
          <w:r>
            <w:rPr>
              <w:color w:val="auto"/>
            </w:rPr>
            <w:instrText xml:space="preserve"> HYPERLINK \l _Toc6872 </w:instrText>
          </w:r>
          <w:r>
            <w:rPr>
              <w:color w:val="auto"/>
            </w:rPr>
            <w:fldChar w:fldCharType="separate"/>
          </w:r>
          <w:r>
            <w:rPr>
              <w:rFonts w:ascii="黑体" w:hAnsi="黑体" w:eastAsia="黑体" w:cs="黑体"/>
              <w:bCs/>
              <w:color w:val="auto"/>
              <w:szCs w:val="36"/>
            </w:rPr>
            <w:t>第1章  引言</w:t>
          </w:r>
          <w:r>
            <w:rPr>
              <w:color w:val="auto"/>
            </w:rPr>
            <w:tab/>
          </w:r>
          <w:r>
            <w:rPr>
              <w:color w:val="auto"/>
            </w:rPr>
            <w:fldChar w:fldCharType="begin"/>
          </w:r>
          <w:r>
            <w:rPr>
              <w:color w:val="auto"/>
            </w:rPr>
            <w:instrText xml:space="preserve"> PAGEREF _Toc6872 \h </w:instrText>
          </w:r>
          <w:r>
            <w:rPr>
              <w:color w:val="auto"/>
            </w:rPr>
            <w:fldChar w:fldCharType="separate"/>
          </w:r>
          <w:r>
            <w:rPr>
              <w:color w:val="auto"/>
            </w:rPr>
            <w:t>4</w:t>
          </w:r>
          <w:r>
            <w:rPr>
              <w:color w:val="auto"/>
            </w:rPr>
            <w:fldChar w:fldCharType="end"/>
          </w:r>
          <w:r>
            <w:rPr>
              <w:color w:val="auto"/>
            </w:rPr>
            <w:fldChar w:fldCharType="end"/>
          </w:r>
        </w:p>
        <w:p w14:paraId="3663F1A3">
          <w:pPr>
            <w:pStyle w:val="12"/>
            <w:tabs>
              <w:tab w:val="right" w:leader="dot" w:pos="9026"/>
            </w:tabs>
            <w:rPr>
              <w:color w:val="auto"/>
            </w:rPr>
          </w:pPr>
          <w:r>
            <w:rPr>
              <w:color w:val="auto"/>
            </w:rPr>
            <w:fldChar w:fldCharType="begin"/>
          </w:r>
          <w:r>
            <w:rPr>
              <w:color w:val="auto"/>
            </w:rPr>
            <w:instrText xml:space="preserve"> HYPERLINK \l _Toc3219 </w:instrText>
          </w:r>
          <w:r>
            <w:rPr>
              <w:color w:val="auto"/>
            </w:rPr>
            <w:fldChar w:fldCharType="separate"/>
          </w:r>
          <w:r>
            <w:rPr>
              <w:rFonts w:ascii="黑体" w:hAnsi="黑体" w:eastAsia="黑体" w:cs="黑体"/>
              <w:bCs/>
              <w:color w:val="auto"/>
              <w:szCs w:val="28"/>
            </w:rPr>
            <w:t>1.1  研究目的和意义</w:t>
          </w:r>
          <w:r>
            <w:rPr>
              <w:color w:val="auto"/>
            </w:rPr>
            <w:tab/>
          </w:r>
          <w:r>
            <w:rPr>
              <w:color w:val="auto"/>
            </w:rPr>
            <w:fldChar w:fldCharType="begin"/>
          </w:r>
          <w:r>
            <w:rPr>
              <w:color w:val="auto"/>
            </w:rPr>
            <w:instrText xml:space="preserve"> PAGEREF _Toc3219 \h </w:instrText>
          </w:r>
          <w:r>
            <w:rPr>
              <w:color w:val="auto"/>
            </w:rPr>
            <w:fldChar w:fldCharType="separate"/>
          </w:r>
          <w:r>
            <w:rPr>
              <w:color w:val="auto"/>
            </w:rPr>
            <w:t>4</w:t>
          </w:r>
          <w:r>
            <w:rPr>
              <w:color w:val="auto"/>
            </w:rPr>
            <w:fldChar w:fldCharType="end"/>
          </w:r>
          <w:r>
            <w:rPr>
              <w:color w:val="auto"/>
            </w:rPr>
            <w:fldChar w:fldCharType="end"/>
          </w:r>
        </w:p>
        <w:p w14:paraId="05D702C1">
          <w:pPr>
            <w:pStyle w:val="12"/>
            <w:tabs>
              <w:tab w:val="right" w:leader="dot" w:pos="9026"/>
            </w:tabs>
            <w:rPr>
              <w:color w:val="auto"/>
            </w:rPr>
          </w:pPr>
          <w:r>
            <w:rPr>
              <w:color w:val="auto"/>
            </w:rPr>
            <w:fldChar w:fldCharType="begin"/>
          </w:r>
          <w:r>
            <w:rPr>
              <w:color w:val="auto"/>
            </w:rPr>
            <w:instrText xml:space="preserve"> HYPERLINK \l _Toc5474 </w:instrText>
          </w:r>
          <w:r>
            <w:rPr>
              <w:color w:val="auto"/>
            </w:rPr>
            <w:fldChar w:fldCharType="separate"/>
          </w:r>
          <w:r>
            <w:rPr>
              <w:rFonts w:ascii="黑体" w:hAnsi="黑体" w:eastAsia="黑体" w:cs="黑体"/>
              <w:bCs/>
              <w:color w:val="auto"/>
              <w:szCs w:val="28"/>
            </w:rPr>
            <w:t>1.2  国内外研究现状</w:t>
          </w:r>
          <w:r>
            <w:rPr>
              <w:color w:val="auto"/>
            </w:rPr>
            <w:tab/>
          </w:r>
          <w:r>
            <w:rPr>
              <w:color w:val="auto"/>
            </w:rPr>
            <w:fldChar w:fldCharType="begin"/>
          </w:r>
          <w:r>
            <w:rPr>
              <w:color w:val="auto"/>
            </w:rPr>
            <w:instrText xml:space="preserve"> PAGEREF _Toc5474 \h </w:instrText>
          </w:r>
          <w:r>
            <w:rPr>
              <w:color w:val="auto"/>
            </w:rPr>
            <w:fldChar w:fldCharType="separate"/>
          </w:r>
          <w:r>
            <w:rPr>
              <w:color w:val="auto"/>
            </w:rPr>
            <w:t>4</w:t>
          </w:r>
          <w:r>
            <w:rPr>
              <w:color w:val="auto"/>
            </w:rPr>
            <w:fldChar w:fldCharType="end"/>
          </w:r>
          <w:r>
            <w:rPr>
              <w:color w:val="auto"/>
            </w:rPr>
            <w:fldChar w:fldCharType="end"/>
          </w:r>
        </w:p>
        <w:p w14:paraId="32A1253C">
          <w:pPr>
            <w:pStyle w:val="12"/>
            <w:tabs>
              <w:tab w:val="right" w:leader="dot" w:pos="9026"/>
            </w:tabs>
            <w:rPr>
              <w:color w:val="auto"/>
            </w:rPr>
          </w:pPr>
          <w:r>
            <w:rPr>
              <w:color w:val="auto"/>
            </w:rPr>
            <w:fldChar w:fldCharType="begin"/>
          </w:r>
          <w:r>
            <w:rPr>
              <w:color w:val="auto"/>
            </w:rPr>
            <w:instrText xml:space="preserve"> HYPERLINK \l _Toc32166 </w:instrText>
          </w:r>
          <w:r>
            <w:rPr>
              <w:color w:val="auto"/>
            </w:rPr>
            <w:fldChar w:fldCharType="separate"/>
          </w:r>
          <w:r>
            <w:rPr>
              <w:rFonts w:ascii="黑体" w:hAnsi="黑体" w:eastAsia="黑体" w:cs="黑体"/>
              <w:bCs/>
              <w:color w:val="auto"/>
              <w:szCs w:val="28"/>
            </w:rPr>
            <w:t>1.3  本研究简介和分析思路</w:t>
          </w:r>
          <w:r>
            <w:rPr>
              <w:color w:val="auto"/>
            </w:rPr>
            <w:tab/>
          </w:r>
          <w:r>
            <w:rPr>
              <w:color w:val="auto"/>
            </w:rPr>
            <w:fldChar w:fldCharType="begin"/>
          </w:r>
          <w:r>
            <w:rPr>
              <w:color w:val="auto"/>
            </w:rPr>
            <w:instrText xml:space="preserve"> PAGEREF _Toc32166 \h </w:instrText>
          </w:r>
          <w:r>
            <w:rPr>
              <w:color w:val="auto"/>
            </w:rPr>
            <w:fldChar w:fldCharType="separate"/>
          </w:r>
          <w:r>
            <w:rPr>
              <w:color w:val="auto"/>
            </w:rPr>
            <w:t>5</w:t>
          </w:r>
          <w:r>
            <w:rPr>
              <w:color w:val="auto"/>
            </w:rPr>
            <w:fldChar w:fldCharType="end"/>
          </w:r>
          <w:r>
            <w:rPr>
              <w:color w:val="auto"/>
            </w:rPr>
            <w:fldChar w:fldCharType="end"/>
          </w:r>
        </w:p>
        <w:p w14:paraId="31306129">
          <w:pPr>
            <w:pStyle w:val="10"/>
            <w:tabs>
              <w:tab w:val="right" w:leader="dot" w:pos="9026"/>
            </w:tabs>
            <w:rPr>
              <w:color w:val="auto"/>
            </w:rPr>
          </w:pPr>
          <w:r>
            <w:rPr>
              <w:color w:val="auto"/>
            </w:rPr>
            <w:fldChar w:fldCharType="begin"/>
          </w:r>
          <w:r>
            <w:rPr>
              <w:color w:val="auto"/>
            </w:rPr>
            <w:instrText xml:space="preserve"> HYPERLINK \l _Toc9908 </w:instrText>
          </w:r>
          <w:r>
            <w:rPr>
              <w:color w:val="auto"/>
            </w:rPr>
            <w:fldChar w:fldCharType="separate"/>
          </w:r>
          <w:r>
            <w:rPr>
              <w:rFonts w:ascii="黑体" w:hAnsi="黑体" w:eastAsia="黑体" w:cs="黑体"/>
              <w:bCs/>
              <w:color w:val="auto"/>
              <w:szCs w:val="36"/>
            </w:rPr>
            <w:t>第2章  数据获取与整理</w:t>
          </w:r>
          <w:r>
            <w:rPr>
              <w:color w:val="auto"/>
            </w:rPr>
            <w:tab/>
          </w:r>
          <w:r>
            <w:rPr>
              <w:color w:val="auto"/>
            </w:rPr>
            <w:fldChar w:fldCharType="begin"/>
          </w:r>
          <w:r>
            <w:rPr>
              <w:color w:val="auto"/>
            </w:rPr>
            <w:instrText xml:space="preserve"> PAGEREF _Toc9908 \h </w:instrText>
          </w:r>
          <w:r>
            <w:rPr>
              <w:color w:val="auto"/>
            </w:rPr>
            <w:fldChar w:fldCharType="separate"/>
          </w:r>
          <w:r>
            <w:rPr>
              <w:color w:val="auto"/>
            </w:rPr>
            <w:t>6</w:t>
          </w:r>
          <w:r>
            <w:rPr>
              <w:color w:val="auto"/>
            </w:rPr>
            <w:fldChar w:fldCharType="end"/>
          </w:r>
          <w:r>
            <w:rPr>
              <w:color w:val="auto"/>
            </w:rPr>
            <w:fldChar w:fldCharType="end"/>
          </w:r>
        </w:p>
        <w:p w14:paraId="1973FE08">
          <w:pPr>
            <w:pStyle w:val="12"/>
            <w:tabs>
              <w:tab w:val="right" w:leader="dot" w:pos="9026"/>
            </w:tabs>
            <w:rPr>
              <w:color w:val="auto"/>
            </w:rPr>
          </w:pPr>
          <w:r>
            <w:rPr>
              <w:color w:val="auto"/>
            </w:rPr>
            <w:fldChar w:fldCharType="begin"/>
          </w:r>
          <w:r>
            <w:rPr>
              <w:color w:val="auto"/>
            </w:rPr>
            <w:instrText xml:space="preserve"> HYPERLINK \l _Toc2089 </w:instrText>
          </w:r>
          <w:r>
            <w:rPr>
              <w:color w:val="auto"/>
            </w:rPr>
            <w:fldChar w:fldCharType="separate"/>
          </w:r>
          <w:r>
            <w:rPr>
              <w:rFonts w:ascii="黑体" w:hAnsi="黑体" w:eastAsia="黑体" w:cs="黑体"/>
              <w:bCs/>
              <w:color w:val="auto"/>
              <w:szCs w:val="28"/>
            </w:rPr>
            <w:t>2.1  数据获取</w:t>
          </w:r>
          <w:r>
            <w:rPr>
              <w:color w:val="auto"/>
            </w:rPr>
            <w:tab/>
          </w:r>
          <w:r>
            <w:rPr>
              <w:color w:val="auto"/>
            </w:rPr>
            <w:fldChar w:fldCharType="begin"/>
          </w:r>
          <w:r>
            <w:rPr>
              <w:color w:val="auto"/>
            </w:rPr>
            <w:instrText xml:space="preserve"> PAGEREF _Toc2089 \h </w:instrText>
          </w:r>
          <w:r>
            <w:rPr>
              <w:color w:val="auto"/>
            </w:rPr>
            <w:fldChar w:fldCharType="separate"/>
          </w:r>
          <w:r>
            <w:rPr>
              <w:color w:val="auto"/>
            </w:rPr>
            <w:t>6</w:t>
          </w:r>
          <w:r>
            <w:rPr>
              <w:color w:val="auto"/>
            </w:rPr>
            <w:fldChar w:fldCharType="end"/>
          </w:r>
          <w:r>
            <w:rPr>
              <w:color w:val="auto"/>
            </w:rPr>
            <w:fldChar w:fldCharType="end"/>
          </w:r>
        </w:p>
        <w:p w14:paraId="08B54D5B">
          <w:pPr>
            <w:pStyle w:val="12"/>
            <w:tabs>
              <w:tab w:val="right" w:leader="dot" w:pos="9026"/>
            </w:tabs>
            <w:rPr>
              <w:color w:val="auto"/>
            </w:rPr>
          </w:pPr>
          <w:r>
            <w:rPr>
              <w:color w:val="auto"/>
            </w:rPr>
            <w:fldChar w:fldCharType="begin"/>
          </w:r>
          <w:r>
            <w:rPr>
              <w:color w:val="auto"/>
            </w:rPr>
            <w:instrText xml:space="preserve"> HYPERLINK \l _Toc1882 </w:instrText>
          </w:r>
          <w:r>
            <w:rPr>
              <w:color w:val="auto"/>
            </w:rPr>
            <w:fldChar w:fldCharType="separate"/>
          </w:r>
          <w:r>
            <w:rPr>
              <w:rFonts w:ascii="黑体" w:hAnsi="黑体" w:eastAsia="黑体" w:cs="黑体"/>
              <w:bCs/>
              <w:color w:val="auto"/>
              <w:szCs w:val="28"/>
            </w:rPr>
            <w:t>2.2  数据处理</w:t>
          </w:r>
          <w:r>
            <w:rPr>
              <w:color w:val="auto"/>
            </w:rPr>
            <w:tab/>
          </w:r>
          <w:r>
            <w:rPr>
              <w:color w:val="auto"/>
            </w:rPr>
            <w:fldChar w:fldCharType="begin"/>
          </w:r>
          <w:r>
            <w:rPr>
              <w:color w:val="auto"/>
            </w:rPr>
            <w:instrText xml:space="preserve"> PAGEREF _Toc1882 \h </w:instrText>
          </w:r>
          <w:r>
            <w:rPr>
              <w:color w:val="auto"/>
            </w:rPr>
            <w:fldChar w:fldCharType="separate"/>
          </w:r>
          <w:r>
            <w:rPr>
              <w:color w:val="auto"/>
            </w:rPr>
            <w:t>8</w:t>
          </w:r>
          <w:r>
            <w:rPr>
              <w:color w:val="auto"/>
            </w:rPr>
            <w:fldChar w:fldCharType="end"/>
          </w:r>
          <w:r>
            <w:rPr>
              <w:color w:val="auto"/>
            </w:rPr>
            <w:fldChar w:fldCharType="end"/>
          </w:r>
        </w:p>
        <w:p w14:paraId="266BC778">
          <w:pPr>
            <w:pStyle w:val="10"/>
            <w:tabs>
              <w:tab w:val="right" w:leader="dot" w:pos="9026"/>
            </w:tabs>
            <w:rPr>
              <w:color w:val="auto"/>
            </w:rPr>
          </w:pPr>
          <w:r>
            <w:rPr>
              <w:color w:val="auto"/>
            </w:rPr>
            <w:fldChar w:fldCharType="begin"/>
          </w:r>
          <w:r>
            <w:rPr>
              <w:color w:val="auto"/>
            </w:rPr>
            <w:instrText xml:space="preserve"> HYPERLINK \l _Toc12996 </w:instrText>
          </w:r>
          <w:r>
            <w:rPr>
              <w:color w:val="auto"/>
            </w:rPr>
            <w:fldChar w:fldCharType="separate"/>
          </w:r>
          <w:r>
            <w:rPr>
              <w:rFonts w:ascii="黑体" w:hAnsi="黑体" w:eastAsia="黑体" w:cs="黑体"/>
              <w:bCs/>
              <w:color w:val="auto"/>
              <w:szCs w:val="36"/>
            </w:rPr>
            <w:t>第3章  分析模块一：行业现金流总览</w:t>
          </w:r>
          <w:r>
            <w:rPr>
              <w:color w:val="auto"/>
            </w:rPr>
            <w:tab/>
          </w:r>
          <w:r>
            <w:rPr>
              <w:color w:val="auto"/>
            </w:rPr>
            <w:fldChar w:fldCharType="begin"/>
          </w:r>
          <w:r>
            <w:rPr>
              <w:color w:val="auto"/>
            </w:rPr>
            <w:instrText xml:space="preserve"> PAGEREF _Toc12996 \h </w:instrText>
          </w:r>
          <w:r>
            <w:rPr>
              <w:color w:val="auto"/>
            </w:rPr>
            <w:fldChar w:fldCharType="separate"/>
          </w:r>
          <w:r>
            <w:rPr>
              <w:color w:val="auto"/>
            </w:rPr>
            <w:t>10</w:t>
          </w:r>
          <w:r>
            <w:rPr>
              <w:color w:val="auto"/>
            </w:rPr>
            <w:fldChar w:fldCharType="end"/>
          </w:r>
          <w:r>
            <w:rPr>
              <w:color w:val="auto"/>
            </w:rPr>
            <w:fldChar w:fldCharType="end"/>
          </w:r>
        </w:p>
        <w:p w14:paraId="1BAF7C90">
          <w:pPr>
            <w:pStyle w:val="12"/>
            <w:tabs>
              <w:tab w:val="right" w:leader="dot" w:pos="9026"/>
            </w:tabs>
            <w:rPr>
              <w:color w:val="auto"/>
            </w:rPr>
          </w:pPr>
          <w:r>
            <w:rPr>
              <w:color w:val="auto"/>
            </w:rPr>
            <w:fldChar w:fldCharType="begin"/>
          </w:r>
          <w:r>
            <w:rPr>
              <w:color w:val="auto"/>
            </w:rPr>
            <w:instrText xml:space="preserve"> HYPERLINK \l _Toc14976 </w:instrText>
          </w:r>
          <w:r>
            <w:rPr>
              <w:color w:val="auto"/>
            </w:rPr>
            <w:fldChar w:fldCharType="separate"/>
          </w:r>
          <w:r>
            <w:rPr>
              <w:rFonts w:ascii="黑体" w:hAnsi="黑体" w:eastAsia="黑体" w:cs="黑体"/>
              <w:bCs/>
              <w:color w:val="auto"/>
              <w:szCs w:val="28"/>
            </w:rPr>
            <w:t>3.1  各行业经营现金流均值结构</w:t>
          </w:r>
          <w:r>
            <w:rPr>
              <w:color w:val="auto"/>
            </w:rPr>
            <w:tab/>
          </w:r>
          <w:r>
            <w:rPr>
              <w:color w:val="auto"/>
            </w:rPr>
            <w:fldChar w:fldCharType="begin"/>
          </w:r>
          <w:r>
            <w:rPr>
              <w:color w:val="auto"/>
            </w:rPr>
            <w:instrText xml:space="preserve"> PAGEREF _Toc14976 \h </w:instrText>
          </w:r>
          <w:r>
            <w:rPr>
              <w:color w:val="auto"/>
            </w:rPr>
            <w:fldChar w:fldCharType="separate"/>
          </w:r>
          <w:r>
            <w:rPr>
              <w:color w:val="auto"/>
            </w:rPr>
            <w:t>10</w:t>
          </w:r>
          <w:r>
            <w:rPr>
              <w:color w:val="auto"/>
            </w:rPr>
            <w:fldChar w:fldCharType="end"/>
          </w:r>
          <w:r>
            <w:rPr>
              <w:color w:val="auto"/>
            </w:rPr>
            <w:fldChar w:fldCharType="end"/>
          </w:r>
        </w:p>
        <w:p w14:paraId="27170428">
          <w:pPr>
            <w:pStyle w:val="12"/>
            <w:tabs>
              <w:tab w:val="right" w:leader="dot" w:pos="9026"/>
            </w:tabs>
            <w:rPr>
              <w:color w:val="auto"/>
            </w:rPr>
          </w:pPr>
          <w:r>
            <w:rPr>
              <w:color w:val="auto"/>
            </w:rPr>
            <w:fldChar w:fldCharType="begin"/>
          </w:r>
          <w:r>
            <w:rPr>
              <w:color w:val="auto"/>
            </w:rPr>
            <w:instrText xml:space="preserve"> HYPERLINK \l _Toc13965 </w:instrText>
          </w:r>
          <w:r>
            <w:rPr>
              <w:color w:val="auto"/>
            </w:rPr>
            <w:fldChar w:fldCharType="separate"/>
          </w:r>
          <w:r>
            <w:rPr>
              <w:rFonts w:ascii="黑体" w:hAnsi="黑体" w:eastAsia="黑体" w:cs="黑体"/>
              <w:bCs/>
              <w:color w:val="auto"/>
              <w:szCs w:val="28"/>
            </w:rPr>
            <w:t>3.2  全行业自由现金流的年度波动</w:t>
          </w:r>
          <w:r>
            <w:rPr>
              <w:color w:val="auto"/>
            </w:rPr>
            <w:tab/>
          </w:r>
          <w:r>
            <w:rPr>
              <w:color w:val="auto"/>
            </w:rPr>
            <w:fldChar w:fldCharType="begin"/>
          </w:r>
          <w:r>
            <w:rPr>
              <w:color w:val="auto"/>
            </w:rPr>
            <w:instrText xml:space="preserve"> PAGEREF _Toc13965 \h </w:instrText>
          </w:r>
          <w:r>
            <w:rPr>
              <w:color w:val="auto"/>
            </w:rPr>
            <w:fldChar w:fldCharType="separate"/>
          </w:r>
          <w:r>
            <w:rPr>
              <w:color w:val="auto"/>
            </w:rPr>
            <w:t>11</w:t>
          </w:r>
          <w:r>
            <w:rPr>
              <w:color w:val="auto"/>
            </w:rPr>
            <w:fldChar w:fldCharType="end"/>
          </w:r>
          <w:r>
            <w:rPr>
              <w:color w:val="auto"/>
            </w:rPr>
            <w:fldChar w:fldCharType="end"/>
          </w:r>
        </w:p>
        <w:p w14:paraId="135E2F1D">
          <w:pPr>
            <w:pStyle w:val="12"/>
            <w:tabs>
              <w:tab w:val="right" w:leader="dot" w:pos="9026"/>
            </w:tabs>
            <w:rPr>
              <w:color w:val="auto"/>
            </w:rPr>
          </w:pPr>
          <w:r>
            <w:rPr>
              <w:color w:val="auto"/>
            </w:rPr>
            <w:fldChar w:fldCharType="begin"/>
          </w:r>
          <w:r>
            <w:rPr>
              <w:color w:val="auto"/>
            </w:rPr>
            <w:instrText xml:space="preserve"> HYPERLINK \l _Toc13589 </w:instrText>
          </w:r>
          <w:r>
            <w:rPr>
              <w:color w:val="auto"/>
            </w:rPr>
            <w:fldChar w:fldCharType="separate"/>
          </w:r>
          <w:r>
            <w:rPr>
              <w:rFonts w:ascii="黑体" w:hAnsi="黑体" w:eastAsia="黑体" w:cs="黑体"/>
              <w:bCs/>
              <w:color w:val="auto"/>
              <w:szCs w:val="28"/>
            </w:rPr>
            <w:t>3.3  小结</w:t>
          </w:r>
          <w:r>
            <w:rPr>
              <w:color w:val="auto"/>
            </w:rPr>
            <w:tab/>
          </w:r>
          <w:r>
            <w:rPr>
              <w:color w:val="auto"/>
            </w:rPr>
            <w:fldChar w:fldCharType="begin"/>
          </w:r>
          <w:r>
            <w:rPr>
              <w:color w:val="auto"/>
            </w:rPr>
            <w:instrText xml:space="preserve"> PAGEREF _Toc13589 \h </w:instrText>
          </w:r>
          <w:r>
            <w:rPr>
              <w:color w:val="auto"/>
            </w:rPr>
            <w:fldChar w:fldCharType="separate"/>
          </w:r>
          <w:r>
            <w:rPr>
              <w:color w:val="auto"/>
            </w:rPr>
            <w:t>11</w:t>
          </w:r>
          <w:r>
            <w:rPr>
              <w:color w:val="auto"/>
            </w:rPr>
            <w:fldChar w:fldCharType="end"/>
          </w:r>
          <w:r>
            <w:rPr>
              <w:color w:val="auto"/>
            </w:rPr>
            <w:fldChar w:fldCharType="end"/>
          </w:r>
        </w:p>
        <w:p w14:paraId="60C9F3FF">
          <w:pPr>
            <w:pStyle w:val="10"/>
            <w:tabs>
              <w:tab w:val="right" w:leader="dot" w:pos="9026"/>
            </w:tabs>
            <w:rPr>
              <w:color w:val="auto"/>
            </w:rPr>
          </w:pPr>
          <w:r>
            <w:rPr>
              <w:color w:val="auto"/>
            </w:rPr>
            <w:fldChar w:fldCharType="begin"/>
          </w:r>
          <w:r>
            <w:rPr>
              <w:color w:val="auto"/>
            </w:rPr>
            <w:instrText xml:space="preserve"> HYPERLINK \l _Toc7202 </w:instrText>
          </w:r>
          <w:r>
            <w:rPr>
              <w:color w:val="auto"/>
            </w:rPr>
            <w:fldChar w:fldCharType="separate"/>
          </w:r>
          <w:r>
            <w:rPr>
              <w:rFonts w:ascii="黑体" w:hAnsi="黑体" w:eastAsia="黑体" w:cs="黑体"/>
              <w:bCs/>
              <w:color w:val="auto"/>
              <w:szCs w:val="36"/>
            </w:rPr>
            <w:t>第4章  分析模块二：偿债能力综合分析</w:t>
          </w:r>
          <w:r>
            <w:rPr>
              <w:color w:val="auto"/>
            </w:rPr>
            <w:tab/>
          </w:r>
          <w:r>
            <w:rPr>
              <w:color w:val="auto"/>
            </w:rPr>
            <w:fldChar w:fldCharType="begin"/>
          </w:r>
          <w:r>
            <w:rPr>
              <w:color w:val="auto"/>
            </w:rPr>
            <w:instrText xml:space="preserve"> PAGEREF _Toc7202 \h </w:instrText>
          </w:r>
          <w:r>
            <w:rPr>
              <w:color w:val="auto"/>
            </w:rPr>
            <w:fldChar w:fldCharType="separate"/>
          </w:r>
          <w:r>
            <w:rPr>
              <w:color w:val="auto"/>
            </w:rPr>
            <w:t>12</w:t>
          </w:r>
          <w:r>
            <w:rPr>
              <w:color w:val="auto"/>
            </w:rPr>
            <w:fldChar w:fldCharType="end"/>
          </w:r>
          <w:r>
            <w:rPr>
              <w:color w:val="auto"/>
            </w:rPr>
            <w:fldChar w:fldCharType="end"/>
          </w:r>
        </w:p>
        <w:p w14:paraId="46835279">
          <w:pPr>
            <w:pStyle w:val="12"/>
            <w:tabs>
              <w:tab w:val="right" w:leader="dot" w:pos="9026"/>
            </w:tabs>
            <w:rPr>
              <w:color w:val="auto"/>
            </w:rPr>
          </w:pPr>
          <w:r>
            <w:rPr>
              <w:color w:val="auto"/>
            </w:rPr>
            <w:fldChar w:fldCharType="begin"/>
          </w:r>
          <w:r>
            <w:rPr>
              <w:color w:val="auto"/>
            </w:rPr>
            <w:instrText xml:space="preserve"> HYPERLINK \l _Toc20225 </w:instrText>
          </w:r>
          <w:r>
            <w:rPr>
              <w:color w:val="auto"/>
            </w:rPr>
            <w:fldChar w:fldCharType="separate"/>
          </w:r>
          <w:r>
            <w:rPr>
              <w:rFonts w:ascii="黑体" w:hAnsi="黑体" w:eastAsia="黑体" w:cs="黑体"/>
              <w:bCs/>
              <w:color w:val="auto"/>
              <w:szCs w:val="28"/>
            </w:rPr>
            <w:t>4.1  行业资产负债率排名</w:t>
          </w:r>
          <w:r>
            <w:rPr>
              <w:color w:val="auto"/>
            </w:rPr>
            <w:tab/>
          </w:r>
          <w:r>
            <w:rPr>
              <w:color w:val="auto"/>
            </w:rPr>
            <w:fldChar w:fldCharType="begin"/>
          </w:r>
          <w:r>
            <w:rPr>
              <w:color w:val="auto"/>
            </w:rPr>
            <w:instrText xml:space="preserve"> PAGEREF _Toc20225 \h </w:instrText>
          </w:r>
          <w:r>
            <w:rPr>
              <w:color w:val="auto"/>
            </w:rPr>
            <w:fldChar w:fldCharType="separate"/>
          </w:r>
          <w:r>
            <w:rPr>
              <w:color w:val="auto"/>
            </w:rPr>
            <w:t>12</w:t>
          </w:r>
          <w:r>
            <w:rPr>
              <w:color w:val="auto"/>
            </w:rPr>
            <w:fldChar w:fldCharType="end"/>
          </w:r>
          <w:r>
            <w:rPr>
              <w:color w:val="auto"/>
            </w:rPr>
            <w:fldChar w:fldCharType="end"/>
          </w:r>
        </w:p>
        <w:p w14:paraId="1DECC5AE">
          <w:pPr>
            <w:pStyle w:val="12"/>
            <w:tabs>
              <w:tab w:val="right" w:leader="dot" w:pos="9026"/>
            </w:tabs>
            <w:rPr>
              <w:color w:val="auto"/>
            </w:rPr>
          </w:pPr>
          <w:r>
            <w:rPr>
              <w:color w:val="auto"/>
            </w:rPr>
            <w:fldChar w:fldCharType="begin"/>
          </w:r>
          <w:r>
            <w:rPr>
              <w:color w:val="auto"/>
            </w:rPr>
            <w:instrText xml:space="preserve"> HYPERLINK \l _Toc3711 </w:instrText>
          </w:r>
          <w:r>
            <w:rPr>
              <w:color w:val="auto"/>
            </w:rPr>
            <w:fldChar w:fldCharType="separate"/>
          </w:r>
          <w:r>
            <w:rPr>
              <w:rFonts w:ascii="黑体" w:hAnsi="黑体" w:eastAsia="黑体" w:cs="黑体"/>
              <w:bCs/>
              <w:color w:val="auto"/>
              <w:szCs w:val="28"/>
            </w:rPr>
            <w:t>4.2  四指标偿债能力雷达对比</w:t>
          </w:r>
          <w:r>
            <w:rPr>
              <w:color w:val="auto"/>
            </w:rPr>
            <w:tab/>
          </w:r>
          <w:r>
            <w:rPr>
              <w:color w:val="auto"/>
            </w:rPr>
            <w:fldChar w:fldCharType="begin"/>
          </w:r>
          <w:r>
            <w:rPr>
              <w:color w:val="auto"/>
            </w:rPr>
            <w:instrText xml:space="preserve"> PAGEREF _Toc3711 \h </w:instrText>
          </w:r>
          <w:r>
            <w:rPr>
              <w:color w:val="auto"/>
            </w:rPr>
            <w:fldChar w:fldCharType="separate"/>
          </w:r>
          <w:r>
            <w:rPr>
              <w:color w:val="auto"/>
            </w:rPr>
            <w:t>12</w:t>
          </w:r>
          <w:r>
            <w:rPr>
              <w:color w:val="auto"/>
            </w:rPr>
            <w:fldChar w:fldCharType="end"/>
          </w:r>
          <w:r>
            <w:rPr>
              <w:color w:val="auto"/>
            </w:rPr>
            <w:fldChar w:fldCharType="end"/>
          </w:r>
        </w:p>
        <w:p w14:paraId="6979B7C5">
          <w:pPr>
            <w:pStyle w:val="12"/>
            <w:tabs>
              <w:tab w:val="right" w:leader="dot" w:pos="9026"/>
            </w:tabs>
            <w:rPr>
              <w:color w:val="auto"/>
            </w:rPr>
          </w:pPr>
          <w:r>
            <w:rPr>
              <w:color w:val="auto"/>
            </w:rPr>
            <w:fldChar w:fldCharType="begin"/>
          </w:r>
          <w:r>
            <w:rPr>
              <w:color w:val="auto"/>
            </w:rPr>
            <w:instrText xml:space="preserve"> HYPERLINK \l _Toc22303 </w:instrText>
          </w:r>
          <w:r>
            <w:rPr>
              <w:color w:val="auto"/>
            </w:rPr>
            <w:fldChar w:fldCharType="separate"/>
          </w:r>
          <w:r>
            <w:rPr>
              <w:rFonts w:ascii="黑体" w:hAnsi="黑体" w:eastAsia="黑体" w:cs="黑体"/>
              <w:bCs/>
              <w:color w:val="auto"/>
              <w:szCs w:val="28"/>
            </w:rPr>
            <w:t>4.3  小结</w:t>
          </w:r>
          <w:r>
            <w:rPr>
              <w:color w:val="auto"/>
            </w:rPr>
            <w:tab/>
          </w:r>
          <w:r>
            <w:rPr>
              <w:color w:val="auto"/>
            </w:rPr>
            <w:fldChar w:fldCharType="begin"/>
          </w:r>
          <w:r>
            <w:rPr>
              <w:color w:val="auto"/>
            </w:rPr>
            <w:instrText xml:space="preserve"> PAGEREF _Toc22303 \h </w:instrText>
          </w:r>
          <w:r>
            <w:rPr>
              <w:color w:val="auto"/>
            </w:rPr>
            <w:fldChar w:fldCharType="separate"/>
          </w:r>
          <w:r>
            <w:rPr>
              <w:color w:val="auto"/>
            </w:rPr>
            <w:t>13</w:t>
          </w:r>
          <w:r>
            <w:rPr>
              <w:color w:val="auto"/>
            </w:rPr>
            <w:fldChar w:fldCharType="end"/>
          </w:r>
          <w:r>
            <w:rPr>
              <w:color w:val="auto"/>
            </w:rPr>
            <w:fldChar w:fldCharType="end"/>
          </w:r>
        </w:p>
        <w:p w14:paraId="1B1DF99E">
          <w:pPr>
            <w:pStyle w:val="10"/>
            <w:tabs>
              <w:tab w:val="right" w:leader="dot" w:pos="9026"/>
            </w:tabs>
            <w:rPr>
              <w:color w:val="auto"/>
            </w:rPr>
          </w:pPr>
          <w:r>
            <w:rPr>
              <w:color w:val="auto"/>
            </w:rPr>
            <w:fldChar w:fldCharType="begin"/>
          </w:r>
          <w:r>
            <w:rPr>
              <w:color w:val="auto"/>
            </w:rPr>
            <w:instrText xml:space="preserve"> HYPERLINK \l _Toc31142 </w:instrText>
          </w:r>
          <w:r>
            <w:rPr>
              <w:color w:val="auto"/>
            </w:rPr>
            <w:fldChar w:fldCharType="separate"/>
          </w:r>
          <w:r>
            <w:rPr>
              <w:rFonts w:ascii="黑体" w:hAnsi="黑体" w:eastAsia="黑体" w:cs="黑体"/>
              <w:bCs/>
              <w:color w:val="auto"/>
              <w:szCs w:val="36"/>
            </w:rPr>
            <w:t>第5章  分析模块三：盈利能力分析</w:t>
          </w:r>
          <w:r>
            <w:rPr>
              <w:color w:val="auto"/>
            </w:rPr>
            <w:tab/>
          </w:r>
          <w:r>
            <w:rPr>
              <w:color w:val="auto"/>
            </w:rPr>
            <w:fldChar w:fldCharType="begin"/>
          </w:r>
          <w:r>
            <w:rPr>
              <w:color w:val="auto"/>
            </w:rPr>
            <w:instrText xml:space="preserve"> PAGEREF _Toc31142 \h </w:instrText>
          </w:r>
          <w:r>
            <w:rPr>
              <w:color w:val="auto"/>
            </w:rPr>
            <w:fldChar w:fldCharType="separate"/>
          </w:r>
          <w:r>
            <w:rPr>
              <w:color w:val="auto"/>
            </w:rPr>
            <w:t>14</w:t>
          </w:r>
          <w:r>
            <w:rPr>
              <w:color w:val="auto"/>
            </w:rPr>
            <w:fldChar w:fldCharType="end"/>
          </w:r>
          <w:r>
            <w:rPr>
              <w:color w:val="auto"/>
            </w:rPr>
            <w:fldChar w:fldCharType="end"/>
          </w:r>
        </w:p>
        <w:p w14:paraId="6C155A88">
          <w:pPr>
            <w:pStyle w:val="12"/>
            <w:tabs>
              <w:tab w:val="right" w:leader="dot" w:pos="9026"/>
            </w:tabs>
            <w:rPr>
              <w:color w:val="auto"/>
            </w:rPr>
          </w:pPr>
          <w:r>
            <w:rPr>
              <w:color w:val="auto"/>
            </w:rPr>
            <w:fldChar w:fldCharType="begin"/>
          </w:r>
          <w:r>
            <w:rPr>
              <w:color w:val="auto"/>
            </w:rPr>
            <w:instrText xml:space="preserve"> HYPERLINK \l _Toc10190 </w:instrText>
          </w:r>
          <w:r>
            <w:rPr>
              <w:color w:val="auto"/>
            </w:rPr>
            <w:fldChar w:fldCharType="separate"/>
          </w:r>
          <w:r>
            <w:rPr>
              <w:rFonts w:ascii="黑体" w:hAnsi="黑体" w:eastAsia="黑体" w:cs="黑体"/>
              <w:bCs/>
              <w:color w:val="auto"/>
              <w:szCs w:val="28"/>
            </w:rPr>
            <w:t>5.1  行业平均 ROE 横向对比</w:t>
          </w:r>
          <w:r>
            <w:rPr>
              <w:color w:val="auto"/>
            </w:rPr>
            <w:tab/>
          </w:r>
          <w:r>
            <w:rPr>
              <w:color w:val="auto"/>
            </w:rPr>
            <w:fldChar w:fldCharType="begin"/>
          </w:r>
          <w:r>
            <w:rPr>
              <w:color w:val="auto"/>
            </w:rPr>
            <w:instrText xml:space="preserve"> PAGEREF _Toc10190 \h </w:instrText>
          </w:r>
          <w:r>
            <w:rPr>
              <w:color w:val="auto"/>
            </w:rPr>
            <w:fldChar w:fldCharType="separate"/>
          </w:r>
          <w:r>
            <w:rPr>
              <w:color w:val="auto"/>
            </w:rPr>
            <w:t>14</w:t>
          </w:r>
          <w:r>
            <w:rPr>
              <w:color w:val="auto"/>
            </w:rPr>
            <w:fldChar w:fldCharType="end"/>
          </w:r>
          <w:r>
            <w:rPr>
              <w:color w:val="auto"/>
            </w:rPr>
            <w:fldChar w:fldCharType="end"/>
          </w:r>
        </w:p>
        <w:p w14:paraId="13A169E4">
          <w:pPr>
            <w:pStyle w:val="12"/>
            <w:tabs>
              <w:tab w:val="right" w:leader="dot" w:pos="9026"/>
            </w:tabs>
            <w:rPr>
              <w:color w:val="auto"/>
            </w:rPr>
          </w:pPr>
          <w:r>
            <w:rPr>
              <w:color w:val="auto"/>
            </w:rPr>
            <w:fldChar w:fldCharType="begin"/>
          </w:r>
          <w:r>
            <w:rPr>
              <w:color w:val="auto"/>
            </w:rPr>
            <w:instrText xml:space="preserve"> HYPERLINK \l _Toc31564 </w:instrText>
          </w:r>
          <w:r>
            <w:rPr>
              <w:color w:val="auto"/>
            </w:rPr>
            <w:fldChar w:fldCharType="separate"/>
          </w:r>
          <w:r>
            <w:rPr>
              <w:rFonts w:ascii="黑体" w:hAnsi="黑体" w:eastAsia="黑体" w:cs="黑体"/>
              <w:bCs/>
              <w:color w:val="auto"/>
              <w:szCs w:val="28"/>
            </w:rPr>
            <w:t>5.2  分行业历年 ROE 趋势</w:t>
          </w:r>
          <w:r>
            <w:rPr>
              <w:color w:val="auto"/>
            </w:rPr>
            <w:tab/>
          </w:r>
          <w:r>
            <w:rPr>
              <w:color w:val="auto"/>
            </w:rPr>
            <w:fldChar w:fldCharType="begin"/>
          </w:r>
          <w:r>
            <w:rPr>
              <w:color w:val="auto"/>
            </w:rPr>
            <w:instrText xml:space="preserve"> PAGEREF _Toc31564 \h </w:instrText>
          </w:r>
          <w:r>
            <w:rPr>
              <w:color w:val="auto"/>
            </w:rPr>
            <w:fldChar w:fldCharType="separate"/>
          </w:r>
          <w:r>
            <w:rPr>
              <w:color w:val="auto"/>
            </w:rPr>
            <w:t>15</w:t>
          </w:r>
          <w:r>
            <w:rPr>
              <w:color w:val="auto"/>
            </w:rPr>
            <w:fldChar w:fldCharType="end"/>
          </w:r>
          <w:r>
            <w:rPr>
              <w:color w:val="auto"/>
            </w:rPr>
            <w:fldChar w:fldCharType="end"/>
          </w:r>
        </w:p>
        <w:p w14:paraId="146F4A08">
          <w:pPr>
            <w:pStyle w:val="12"/>
            <w:tabs>
              <w:tab w:val="right" w:leader="dot" w:pos="9026"/>
            </w:tabs>
            <w:rPr>
              <w:color w:val="auto"/>
            </w:rPr>
          </w:pPr>
          <w:r>
            <w:rPr>
              <w:color w:val="auto"/>
            </w:rPr>
            <w:fldChar w:fldCharType="begin"/>
          </w:r>
          <w:r>
            <w:rPr>
              <w:color w:val="auto"/>
            </w:rPr>
            <w:instrText xml:space="preserve"> HYPERLINK \l _Toc18784 </w:instrText>
          </w:r>
          <w:r>
            <w:rPr>
              <w:color w:val="auto"/>
            </w:rPr>
            <w:fldChar w:fldCharType="separate"/>
          </w:r>
          <w:r>
            <w:rPr>
              <w:rFonts w:ascii="黑体" w:hAnsi="黑体" w:eastAsia="黑体" w:cs="黑体"/>
              <w:bCs/>
              <w:color w:val="auto"/>
              <w:szCs w:val="28"/>
            </w:rPr>
            <w:t>5.3  小结</w:t>
          </w:r>
          <w:r>
            <w:rPr>
              <w:color w:val="auto"/>
            </w:rPr>
            <w:tab/>
          </w:r>
          <w:r>
            <w:rPr>
              <w:color w:val="auto"/>
            </w:rPr>
            <w:fldChar w:fldCharType="begin"/>
          </w:r>
          <w:r>
            <w:rPr>
              <w:color w:val="auto"/>
            </w:rPr>
            <w:instrText xml:space="preserve"> PAGEREF _Toc18784 \h </w:instrText>
          </w:r>
          <w:r>
            <w:rPr>
              <w:color w:val="auto"/>
            </w:rPr>
            <w:fldChar w:fldCharType="separate"/>
          </w:r>
          <w:r>
            <w:rPr>
              <w:color w:val="auto"/>
            </w:rPr>
            <w:t>15</w:t>
          </w:r>
          <w:r>
            <w:rPr>
              <w:color w:val="auto"/>
            </w:rPr>
            <w:fldChar w:fldCharType="end"/>
          </w:r>
          <w:r>
            <w:rPr>
              <w:color w:val="auto"/>
            </w:rPr>
            <w:fldChar w:fldCharType="end"/>
          </w:r>
        </w:p>
        <w:p w14:paraId="317DF05B">
          <w:pPr>
            <w:pStyle w:val="10"/>
            <w:tabs>
              <w:tab w:val="right" w:leader="dot" w:pos="9026"/>
            </w:tabs>
            <w:rPr>
              <w:color w:val="auto"/>
            </w:rPr>
          </w:pPr>
          <w:r>
            <w:rPr>
              <w:color w:val="auto"/>
            </w:rPr>
            <w:fldChar w:fldCharType="begin"/>
          </w:r>
          <w:r>
            <w:rPr>
              <w:color w:val="auto"/>
            </w:rPr>
            <w:instrText xml:space="preserve"> HYPERLINK \l _Toc7721 </w:instrText>
          </w:r>
          <w:r>
            <w:rPr>
              <w:color w:val="auto"/>
            </w:rPr>
            <w:fldChar w:fldCharType="separate"/>
          </w:r>
          <w:r>
            <w:rPr>
              <w:rFonts w:ascii="黑体" w:hAnsi="黑体" w:eastAsia="黑体" w:cs="黑体"/>
              <w:bCs/>
              <w:color w:val="auto"/>
              <w:szCs w:val="36"/>
            </w:rPr>
            <w:t>第6章  分析模块四：负债与盈利双轴交叉分析</w:t>
          </w:r>
          <w:r>
            <w:rPr>
              <w:color w:val="auto"/>
            </w:rPr>
            <w:tab/>
          </w:r>
          <w:r>
            <w:rPr>
              <w:color w:val="auto"/>
            </w:rPr>
            <w:fldChar w:fldCharType="begin"/>
          </w:r>
          <w:r>
            <w:rPr>
              <w:color w:val="auto"/>
            </w:rPr>
            <w:instrText xml:space="preserve"> PAGEREF _Toc7721 \h </w:instrText>
          </w:r>
          <w:r>
            <w:rPr>
              <w:color w:val="auto"/>
            </w:rPr>
            <w:fldChar w:fldCharType="separate"/>
          </w:r>
          <w:r>
            <w:rPr>
              <w:color w:val="auto"/>
            </w:rPr>
            <w:t>17</w:t>
          </w:r>
          <w:r>
            <w:rPr>
              <w:color w:val="auto"/>
            </w:rPr>
            <w:fldChar w:fldCharType="end"/>
          </w:r>
          <w:r>
            <w:rPr>
              <w:color w:val="auto"/>
            </w:rPr>
            <w:fldChar w:fldCharType="end"/>
          </w:r>
        </w:p>
        <w:p w14:paraId="75862092">
          <w:pPr>
            <w:pStyle w:val="12"/>
            <w:tabs>
              <w:tab w:val="right" w:leader="dot" w:pos="9026"/>
            </w:tabs>
            <w:rPr>
              <w:color w:val="auto"/>
            </w:rPr>
          </w:pPr>
          <w:r>
            <w:rPr>
              <w:color w:val="auto"/>
            </w:rPr>
            <w:fldChar w:fldCharType="begin"/>
          </w:r>
          <w:r>
            <w:rPr>
              <w:color w:val="auto"/>
            </w:rPr>
            <w:instrText xml:space="preserve"> HYPERLINK \l _Toc22705 </w:instrText>
          </w:r>
          <w:r>
            <w:rPr>
              <w:color w:val="auto"/>
            </w:rPr>
            <w:fldChar w:fldCharType="separate"/>
          </w:r>
          <w:r>
            <w:rPr>
              <w:rFonts w:ascii="黑体" w:hAnsi="黑体" w:eastAsia="黑体" w:cs="黑体"/>
              <w:bCs/>
              <w:color w:val="auto"/>
              <w:szCs w:val="28"/>
            </w:rPr>
            <w:t>6.1  双轴组合图分析</w:t>
          </w:r>
          <w:r>
            <w:rPr>
              <w:color w:val="auto"/>
            </w:rPr>
            <w:tab/>
          </w:r>
          <w:r>
            <w:rPr>
              <w:color w:val="auto"/>
            </w:rPr>
            <w:fldChar w:fldCharType="begin"/>
          </w:r>
          <w:r>
            <w:rPr>
              <w:color w:val="auto"/>
            </w:rPr>
            <w:instrText xml:space="preserve"> PAGEREF _Toc22705 \h </w:instrText>
          </w:r>
          <w:r>
            <w:rPr>
              <w:color w:val="auto"/>
            </w:rPr>
            <w:fldChar w:fldCharType="separate"/>
          </w:r>
          <w:r>
            <w:rPr>
              <w:color w:val="auto"/>
            </w:rPr>
            <w:t>17</w:t>
          </w:r>
          <w:r>
            <w:rPr>
              <w:color w:val="auto"/>
            </w:rPr>
            <w:fldChar w:fldCharType="end"/>
          </w:r>
          <w:r>
            <w:rPr>
              <w:color w:val="auto"/>
            </w:rPr>
            <w:fldChar w:fldCharType="end"/>
          </w:r>
        </w:p>
        <w:p w14:paraId="7289AD3A">
          <w:pPr>
            <w:pStyle w:val="12"/>
            <w:tabs>
              <w:tab w:val="right" w:leader="dot" w:pos="9026"/>
            </w:tabs>
            <w:rPr>
              <w:color w:val="auto"/>
            </w:rPr>
          </w:pPr>
          <w:r>
            <w:rPr>
              <w:color w:val="auto"/>
            </w:rPr>
            <w:fldChar w:fldCharType="begin"/>
          </w:r>
          <w:r>
            <w:rPr>
              <w:color w:val="auto"/>
            </w:rPr>
            <w:instrText xml:space="preserve"> HYPERLINK \l _Toc23714 </w:instrText>
          </w:r>
          <w:r>
            <w:rPr>
              <w:color w:val="auto"/>
            </w:rPr>
            <w:fldChar w:fldCharType="separate"/>
          </w:r>
          <w:r>
            <w:rPr>
              <w:rFonts w:ascii="黑体" w:hAnsi="黑体" w:eastAsia="黑体" w:cs="黑体"/>
              <w:bCs/>
              <w:color w:val="auto"/>
              <w:szCs w:val="28"/>
            </w:rPr>
            <w:t>6.2  小结</w:t>
          </w:r>
          <w:r>
            <w:rPr>
              <w:color w:val="auto"/>
            </w:rPr>
            <w:tab/>
          </w:r>
          <w:r>
            <w:rPr>
              <w:color w:val="auto"/>
            </w:rPr>
            <w:fldChar w:fldCharType="begin"/>
          </w:r>
          <w:r>
            <w:rPr>
              <w:color w:val="auto"/>
            </w:rPr>
            <w:instrText xml:space="preserve"> PAGEREF _Toc23714 \h </w:instrText>
          </w:r>
          <w:r>
            <w:rPr>
              <w:color w:val="auto"/>
            </w:rPr>
            <w:fldChar w:fldCharType="separate"/>
          </w:r>
          <w:r>
            <w:rPr>
              <w:color w:val="auto"/>
            </w:rPr>
            <w:t>18</w:t>
          </w:r>
          <w:r>
            <w:rPr>
              <w:color w:val="auto"/>
            </w:rPr>
            <w:fldChar w:fldCharType="end"/>
          </w:r>
          <w:r>
            <w:rPr>
              <w:color w:val="auto"/>
            </w:rPr>
            <w:fldChar w:fldCharType="end"/>
          </w:r>
        </w:p>
        <w:p w14:paraId="39178E08">
          <w:pPr>
            <w:pStyle w:val="10"/>
            <w:tabs>
              <w:tab w:val="right" w:leader="dot" w:pos="9026"/>
            </w:tabs>
            <w:rPr>
              <w:color w:val="auto"/>
            </w:rPr>
          </w:pPr>
          <w:r>
            <w:rPr>
              <w:color w:val="auto"/>
            </w:rPr>
            <w:fldChar w:fldCharType="begin"/>
          </w:r>
          <w:r>
            <w:rPr>
              <w:color w:val="auto"/>
            </w:rPr>
            <w:instrText xml:space="preserve"> HYPERLINK \l _Toc23457 </w:instrText>
          </w:r>
          <w:r>
            <w:rPr>
              <w:color w:val="auto"/>
            </w:rPr>
            <w:fldChar w:fldCharType="separate"/>
          </w:r>
          <w:r>
            <w:rPr>
              <w:rFonts w:ascii="黑体" w:hAnsi="黑体" w:eastAsia="黑体" w:cs="黑体"/>
              <w:bCs/>
              <w:color w:val="auto"/>
              <w:szCs w:val="36"/>
            </w:rPr>
            <w:t>第7章  分析模块五：重点行业个股深度对比</w:t>
          </w:r>
          <w:r>
            <w:rPr>
              <w:color w:val="auto"/>
            </w:rPr>
            <w:tab/>
          </w:r>
          <w:r>
            <w:rPr>
              <w:color w:val="auto"/>
            </w:rPr>
            <w:fldChar w:fldCharType="begin"/>
          </w:r>
          <w:r>
            <w:rPr>
              <w:color w:val="auto"/>
            </w:rPr>
            <w:instrText xml:space="preserve"> PAGEREF _Toc23457 \h </w:instrText>
          </w:r>
          <w:r>
            <w:rPr>
              <w:color w:val="auto"/>
            </w:rPr>
            <w:fldChar w:fldCharType="separate"/>
          </w:r>
          <w:r>
            <w:rPr>
              <w:color w:val="auto"/>
            </w:rPr>
            <w:t>19</w:t>
          </w:r>
          <w:r>
            <w:rPr>
              <w:color w:val="auto"/>
            </w:rPr>
            <w:fldChar w:fldCharType="end"/>
          </w:r>
          <w:r>
            <w:rPr>
              <w:color w:val="auto"/>
            </w:rPr>
            <w:fldChar w:fldCharType="end"/>
          </w:r>
        </w:p>
        <w:p w14:paraId="5FFAE6F2">
          <w:pPr>
            <w:pStyle w:val="12"/>
            <w:tabs>
              <w:tab w:val="right" w:leader="dot" w:pos="9026"/>
            </w:tabs>
            <w:rPr>
              <w:color w:val="auto"/>
            </w:rPr>
          </w:pPr>
          <w:r>
            <w:rPr>
              <w:color w:val="auto"/>
            </w:rPr>
            <w:fldChar w:fldCharType="begin"/>
          </w:r>
          <w:r>
            <w:rPr>
              <w:color w:val="auto"/>
            </w:rPr>
            <w:instrText xml:space="preserve"> HYPERLINK \l _Toc3554 </w:instrText>
          </w:r>
          <w:r>
            <w:rPr>
              <w:color w:val="auto"/>
            </w:rPr>
            <w:fldChar w:fldCharType="separate"/>
          </w:r>
          <w:r>
            <w:rPr>
              <w:rFonts w:ascii="黑体" w:hAnsi="黑体" w:eastAsia="黑体" w:cs="黑体"/>
              <w:bCs/>
              <w:color w:val="auto"/>
              <w:szCs w:val="28"/>
            </w:rPr>
            <w:t>7.1  汽车整车行业：龙头与尾部公司的现金流分化</w:t>
          </w:r>
          <w:r>
            <w:rPr>
              <w:color w:val="auto"/>
            </w:rPr>
            <w:tab/>
          </w:r>
          <w:r>
            <w:rPr>
              <w:color w:val="auto"/>
            </w:rPr>
            <w:fldChar w:fldCharType="begin"/>
          </w:r>
          <w:r>
            <w:rPr>
              <w:color w:val="auto"/>
            </w:rPr>
            <w:instrText xml:space="preserve"> PAGEREF _Toc3554 \h </w:instrText>
          </w:r>
          <w:r>
            <w:rPr>
              <w:color w:val="auto"/>
            </w:rPr>
            <w:fldChar w:fldCharType="separate"/>
          </w:r>
          <w:r>
            <w:rPr>
              <w:color w:val="auto"/>
            </w:rPr>
            <w:t>19</w:t>
          </w:r>
          <w:r>
            <w:rPr>
              <w:color w:val="auto"/>
            </w:rPr>
            <w:fldChar w:fldCharType="end"/>
          </w:r>
          <w:r>
            <w:rPr>
              <w:color w:val="auto"/>
            </w:rPr>
            <w:fldChar w:fldCharType="end"/>
          </w:r>
        </w:p>
        <w:p w14:paraId="6D2FAB31">
          <w:pPr>
            <w:pStyle w:val="12"/>
            <w:tabs>
              <w:tab w:val="right" w:leader="dot" w:pos="9026"/>
            </w:tabs>
            <w:rPr>
              <w:color w:val="auto"/>
            </w:rPr>
          </w:pPr>
          <w:r>
            <w:rPr>
              <w:color w:val="auto"/>
            </w:rPr>
            <w:fldChar w:fldCharType="begin"/>
          </w:r>
          <w:r>
            <w:rPr>
              <w:color w:val="auto"/>
            </w:rPr>
            <w:instrText xml:space="preserve"> HYPERLINK \l _Toc14928 </w:instrText>
          </w:r>
          <w:r>
            <w:rPr>
              <w:color w:val="auto"/>
            </w:rPr>
            <w:fldChar w:fldCharType="separate"/>
          </w:r>
          <w:r>
            <w:rPr>
              <w:rFonts w:ascii="黑体" w:hAnsi="黑体" w:eastAsia="黑体" w:cs="黑体"/>
              <w:bCs/>
              <w:color w:val="auto"/>
              <w:szCs w:val="28"/>
            </w:rPr>
            <w:t>7.2  白酒行业：稳健行业内部的盈利与现金流分化</w:t>
          </w:r>
          <w:r>
            <w:rPr>
              <w:color w:val="auto"/>
            </w:rPr>
            <w:tab/>
          </w:r>
          <w:r>
            <w:rPr>
              <w:color w:val="auto"/>
            </w:rPr>
            <w:fldChar w:fldCharType="begin"/>
          </w:r>
          <w:r>
            <w:rPr>
              <w:color w:val="auto"/>
            </w:rPr>
            <w:instrText xml:space="preserve"> PAGEREF _Toc14928 \h </w:instrText>
          </w:r>
          <w:r>
            <w:rPr>
              <w:color w:val="auto"/>
            </w:rPr>
            <w:fldChar w:fldCharType="separate"/>
          </w:r>
          <w:r>
            <w:rPr>
              <w:color w:val="auto"/>
            </w:rPr>
            <w:t>20</w:t>
          </w:r>
          <w:r>
            <w:rPr>
              <w:color w:val="auto"/>
            </w:rPr>
            <w:fldChar w:fldCharType="end"/>
          </w:r>
          <w:r>
            <w:rPr>
              <w:color w:val="auto"/>
            </w:rPr>
            <w:fldChar w:fldCharType="end"/>
          </w:r>
        </w:p>
        <w:p w14:paraId="265C68D3">
          <w:pPr>
            <w:pStyle w:val="12"/>
            <w:tabs>
              <w:tab w:val="right" w:leader="dot" w:pos="9026"/>
            </w:tabs>
            <w:rPr>
              <w:color w:val="auto"/>
            </w:rPr>
          </w:pPr>
          <w:r>
            <w:rPr>
              <w:color w:val="auto"/>
            </w:rPr>
            <w:fldChar w:fldCharType="begin"/>
          </w:r>
          <w:r>
            <w:rPr>
              <w:color w:val="auto"/>
            </w:rPr>
            <w:instrText xml:space="preserve"> HYPERLINK \l _Toc14497 </w:instrText>
          </w:r>
          <w:r>
            <w:rPr>
              <w:color w:val="auto"/>
            </w:rPr>
            <w:fldChar w:fldCharType="separate"/>
          </w:r>
          <w:r>
            <w:rPr>
              <w:rFonts w:ascii="黑体" w:hAnsi="黑体" w:eastAsia="黑体" w:cs="黑体"/>
              <w:bCs/>
              <w:color w:val="auto"/>
              <w:szCs w:val="28"/>
            </w:rPr>
            <w:t>7.3  小结</w:t>
          </w:r>
          <w:r>
            <w:rPr>
              <w:color w:val="auto"/>
            </w:rPr>
            <w:tab/>
          </w:r>
          <w:r>
            <w:rPr>
              <w:color w:val="auto"/>
            </w:rPr>
            <w:fldChar w:fldCharType="begin"/>
          </w:r>
          <w:r>
            <w:rPr>
              <w:color w:val="auto"/>
            </w:rPr>
            <w:instrText xml:space="preserve"> PAGEREF _Toc14497 \h </w:instrText>
          </w:r>
          <w:r>
            <w:rPr>
              <w:color w:val="auto"/>
            </w:rPr>
            <w:fldChar w:fldCharType="separate"/>
          </w:r>
          <w:r>
            <w:rPr>
              <w:color w:val="auto"/>
            </w:rPr>
            <w:t>20</w:t>
          </w:r>
          <w:r>
            <w:rPr>
              <w:color w:val="auto"/>
            </w:rPr>
            <w:fldChar w:fldCharType="end"/>
          </w:r>
          <w:r>
            <w:rPr>
              <w:color w:val="auto"/>
            </w:rPr>
            <w:fldChar w:fldCharType="end"/>
          </w:r>
        </w:p>
        <w:p w14:paraId="51499ECD">
          <w:pPr>
            <w:pStyle w:val="10"/>
            <w:tabs>
              <w:tab w:val="right" w:leader="dot" w:pos="9026"/>
            </w:tabs>
            <w:rPr>
              <w:color w:val="auto"/>
            </w:rPr>
          </w:pPr>
          <w:r>
            <w:rPr>
              <w:color w:val="auto"/>
            </w:rPr>
            <w:fldChar w:fldCharType="begin"/>
          </w:r>
          <w:r>
            <w:rPr>
              <w:color w:val="auto"/>
            </w:rPr>
            <w:instrText xml:space="preserve"> HYPERLINK \l _Toc2892 </w:instrText>
          </w:r>
          <w:r>
            <w:rPr>
              <w:color w:val="auto"/>
            </w:rPr>
            <w:fldChar w:fldCharType="separate"/>
          </w:r>
          <w:r>
            <w:rPr>
              <w:rFonts w:ascii="黑体" w:hAnsi="黑体" w:eastAsia="黑体" w:cs="黑体"/>
              <w:bCs/>
              <w:color w:val="auto"/>
              <w:szCs w:val="36"/>
            </w:rPr>
            <w:t>第8章  结论与建议</w:t>
          </w:r>
          <w:r>
            <w:rPr>
              <w:color w:val="auto"/>
            </w:rPr>
            <w:tab/>
          </w:r>
          <w:r>
            <w:rPr>
              <w:color w:val="auto"/>
            </w:rPr>
            <w:fldChar w:fldCharType="begin"/>
          </w:r>
          <w:r>
            <w:rPr>
              <w:color w:val="auto"/>
            </w:rPr>
            <w:instrText xml:space="preserve"> PAGEREF _Toc2892 \h </w:instrText>
          </w:r>
          <w:r>
            <w:rPr>
              <w:color w:val="auto"/>
            </w:rPr>
            <w:fldChar w:fldCharType="separate"/>
          </w:r>
          <w:r>
            <w:rPr>
              <w:color w:val="auto"/>
            </w:rPr>
            <w:t>22</w:t>
          </w:r>
          <w:r>
            <w:rPr>
              <w:color w:val="auto"/>
            </w:rPr>
            <w:fldChar w:fldCharType="end"/>
          </w:r>
          <w:r>
            <w:rPr>
              <w:color w:val="auto"/>
            </w:rPr>
            <w:fldChar w:fldCharType="end"/>
          </w:r>
        </w:p>
        <w:p w14:paraId="332D7B82">
          <w:pPr>
            <w:pStyle w:val="12"/>
            <w:tabs>
              <w:tab w:val="right" w:leader="dot" w:pos="9026"/>
            </w:tabs>
            <w:rPr>
              <w:color w:val="auto"/>
            </w:rPr>
          </w:pPr>
          <w:r>
            <w:rPr>
              <w:color w:val="auto"/>
            </w:rPr>
            <w:fldChar w:fldCharType="begin"/>
          </w:r>
          <w:r>
            <w:rPr>
              <w:color w:val="auto"/>
            </w:rPr>
            <w:instrText xml:space="preserve"> HYPERLINK \l _Toc24866 </w:instrText>
          </w:r>
          <w:r>
            <w:rPr>
              <w:color w:val="auto"/>
            </w:rPr>
            <w:fldChar w:fldCharType="separate"/>
          </w:r>
          <w:r>
            <w:rPr>
              <w:rFonts w:ascii="黑体" w:hAnsi="黑体" w:eastAsia="黑体" w:cs="黑体"/>
              <w:bCs/>
              <w:color w:val="auto"/>
              <w:szCs w:val="28"/>
            </w:rPr>
            <w:t>8.1  分析结论</w:t>
          </w:r>
          <w:r>
            <w:rPr>
              <w:color w:val="auto"/>
            </w:rPr>
            <w:tab/>
          </w:r>
          <w:r>
            <w:rPr>
              <w:color w:val="auto"/>
            </w:rPr>
            <w:fldChar w:fldCharType="begin"/>
          </w:r>
          <w:r>
            <w:rPr>
              <w:color w:val="auto"/>
            </w:rPr>
            <w:instrText xml:space="preserve"> PAGEREF _Toc24866 \h </w:instrText>
          </w:r>
          <w:r>
            <w:rPr>
              <w:color w:val="auto"/>
            </w:rPr>
            <w:fldChar w:fldCharType="separate"/>
          </w:r>
          <w:r>
            <w:rPr>
              <w:color w:val="auto"/>
            </w:rPr>
            <w:t>22</w:t>
          </w:r>
          <w:r>
            <w:rPr>
              <w:color w:val="auto"/>
            </w:rPr>
            <w:fldChar w:fldCharType="end"/>
          </w:r>
          <w:r>
            <w:rPr>
              <w:color w:val="auto"/>
            </w:rPr>
            <w:fldChar w:fldCharType="end"/>
          </w:r>
        </w:p>
        <w:p w14:paraId="0BA40096">
          <w:pPr>
            <w:pStyle w:val="12"/>
            <w:tabs>
              <w:tab w:val="right" w:leader="dot" w:pos="9026"/>
            </w:tabs>
            <w:rPr>
              <w:color w:val="auto"/>
            </w:rPr>
          </w:pPr>
          <w:r>
            <w:rPr>
              <w:color w:val="auto"/>
            </w:rPr>
            <w:fldChar w:fldCharType="begin"/>
          </w:r>
          <w:r>
            <w:rPr>
              <w:color w:val="auto"/>
            </w:rPr>
            <w:instrText xml:space="preserve"> HYPERLINK \l _Toc4621 </w:instrText>
          </w:r>
          <w:r>
            <w:rPr>
              <w:color w:val="auto"/>
            </w:rPr>
            <w:fldChar w:fldCharType="separate"/>
          </w:r>
          <w:r>
            <w:rPr>
              <w:rFonts w:ascii="黑体" w:hAnsi="黑体" w:eastAsia="黑体" w:cs="黑体"/>
              <w:bCs/>
              <w:color w:val="auto"/>
              <w:szCs w:val="28"/>
            </w:rPr>
            <w:t>8.2  分析建议</w:t>
          </w:r>
          <w:r>
            <w:rPr>
              <w:color w:val="auto"/>
            </w:rPr>
            <w:tab/>
          </w:r>
          <w:r>
            <w:rPr>
              <w:color w:val="auto"/>
            </w:rPr>
            <w:fldChar w:fldCharType="begin"/>
          </w:r>
          <w:r>
            <w:rPr>
              <w:color w:val="auto"/>
            </w:rPr>
            <w:instrText xml:space="preserve"> PAGEREF _Toc4621 \h </w:instrText>
          </w:r>
          <w:r>
            <w:rPr>
              <w:color w:val="auto"/>
            </w:rPr>
            <w:fldChar w:fldCharType="separate"/>
          </w:r>
          <w:r>
            <w:rPr>
              <w:color w:val="auto"/>
            </w:rPr>
            <w:t>23</w:t>
          </w:r>
          <w:r>
            <w:rPr>
              <w:color w:val="auto"/>
            </w:rPr>
            <w:fldChar w:fldCharType="end"/>
          </w:r>
          <w:r>
            <w:rPr>
              <w:color w:val="auto"/>
            </w:rPr>
            <w:fldChar w:fldCharType="end"/>
          </w:r>
        </w:p>
        <w:p w14:paraId="6A68E505">
          <w:pPr>
            <w:pStyle w:val="8"/>
            <w:tabs>
              <w:tab w:val="right" w:leader="dot" w:pos="9026"/>
            </w:tabs>
            <w:rPr>
              <w:color w:val="auto"/>
            </w:rPr>
          </w:pPr>
          <w:r>
            <w:rPr>
              <w:color w:val="auto"/>
            </w:rPr>
            <w:fldChar w:fldCharType="begin"/>
          </w:r>
          <w:r>
            <w:rPr>
              <w:color w:val="auto"/>
            </w:rPr>
            <w:instrText xml:space="preserve"> HYPERLINK \l _Toc21557 </w:instrText>
          </w:r>
          <w:r>
            <w:rPr>
              <w:color w:val="auto"/>
            </w:rPr>
            <w:fldChar w:fldCharType="separate"/>
          </w:r>
          <w:r>
            <w:rPr>
              <w:rFonts w:ascii="黑体" w:hAnsi="黑体" w:eastAsia="黑体" w:cs="黑体"/>
              <w:bCs/>
              <w:color w:val="auto"/>
              <w:szCs w:val="24"/>
            </w:rPr>
            <w:t>8.2.1  行业配置建议</w:t>
          </w:r>
          <w:r>
            <w:rPr>
              <w:color w:val="auto"/>
            </w:rPr>
            <w:tab/>
          </w:r>
          <w:r>
            <w:rPr>
              <w:color w:val="auto"/>
            </w:rPr>
            <w:fldChar w:fldCharType="begin"/>
          </w:r>
          <w:r>
            <w:rPr>
              <w:color w:val="auto"/>
            </w:rPr>
            <w:instrText xml:space="preserve"> PAGEREF _Toc21557 \h </w:instrText>
          </w:r>
          <w:r>
            <w:rPr>
              <w:color w:val="auto"/>
            </w:rPr>
            <w:fldChar w:fldCharType="separate"/>
          </w:r>
          <w:r>
            <w:rPr>
              <w:color w:val="auto"/>
            </w:rPr>
            <w:t>23</w:t>
          </w:r>
          <w:r>
            <w:rPr>
              <w:color w:val="auto"/>
            </w:rPr>
            <w:fldChar w:fldCharType="end"/>
          </w:r>
          <w:r>
            <w:rPr>
              <w:color w:val="auto"/>
            </w:rPr>
            <w:fldChar w:fldCharType="end"/>
          </w:r>
        </w:p>
        <w:p w14:paraId="63C80CC4">
          <w:pPr>
            <w:pStyle w:val="8"/>
            <w:tabs>
              <w:tab w:val="right" w:leader="dot" w:pos="9026"/>
            </w:tabs>
            <w:rPr>
              <w:color w:val="auto"/>
            </w:rPr>
          </w:pPr>
          <w:r>
            <w:rPr>
              <w:color w:val="auto"/>
            </w:rPr>
            <w:fldChar w:fldCharType="begin"/>
          </w:r>
          <w:r>
            <w:rPr>
              <w:color w:val="auto"/>
            </w:rPr>
            <w:instrText xml:space="preserve"> HYPERLINK \l _Toc2675 </w:instrText>
          </w:r>
          <w:r>
            <w:rPr>
              <w:color w:val="auto"/>
            </w:rPr>
            <w:fldChar w:fldCharType="separate"/>
          </w:r>
          <w:r>
            <w:rPr>
              <w:rFonts w:ascii="黑体" w:hAnsi="黑体" w:eastAsia="黑体" w:cs="黑体"/>
              <w:bCs/>
              <w:color w:val="auto"/>
              <w:szCs w:val="24"/>
            </w:rPr>
            <w:t>8.2.2  个股选择建议</w:t>
          </w:r>
          <w:r>
            <w:rPr>
              <w:color w:val="auto"/>
            </w:rPr>
            <w:tab/>
          </w:r>
          <w:r>
            <w:rPr>
              <w:color w:val="auto"/>
            </w:rPr>
            <w:fldChar w:fldCharType="begin"/>
          </w:r>
          <w:r>
            <w:rPr>
              <w:color w:val="auto"/>
            </w:rPr>
            <w:instrText xml:space="preserve"> PAGEREF _Toc2675 \h </w:instrText>
          </w:r>
          <w:r>
            <w:rPr>
              <w:color w:val="auto"/>
            </w:rPr>
            <w:fldChar w:fldCharType="separate"/>
          </w:r>
          <w:r>
            <w:rPr>
              <w:color w:val="auto"/>
            </w:rPr>
            <w:t>23</w:t>
          </w:r>
          <w:r>
            <w:rPr>
              <w:color w:val="auto"/>
            </w:rPr>
            <w:fldChar w:fldCharType="end"/>
          </w:r>
          <w:r>
            <w:rPr>
              <w:color w:val="auto"/>
            </w:rPr>
            <w:fldChar w:fldCharType="end"/>
          </w:r>
        </w:p>
        <w:p w14:paraId="4ED75303">
          <w:pPr>
            <w:pStyle w:val="8"/>
            <w:tabs>
              <w:tab w:val="right" w:leader="dot" w:pos="9026"/>
            </w:tabs>
            <w:rPr>
              <w:color w:val="auto"/>
            </w:rPr>
          </w:pPr>
          <w:r>
            <w:rPr>
              <w:color w:val="auto"/>
            </w:rPr>
            <w:fldChar w:fldCharType="begin"/>
          </w:r>
          <w:r>
            <w:rPr>
              <w:color w:val="auto"/>
            </w:rPr>
            <w:instrText xml:space="preserve"> HYPERLINK \l _Toc16194 </w:instrText>
          </w:r>
          <w:r>
            <w:rPr>
              <w:color w:val="auto"/>
            </w:rPr>
            <w:fldChar w:fldCharType="separate"/>
          </w:r>
          <w:r>
            <w:rPr>
              <w:rFonts w:ascii="黑体" w:hAnsi="黑体" w:eastAsia="黑体" w:cs="黑体"/>
              <w:bCs/>
              <w:color w:val="auto"/>
              <w:szCs w:val="24"/>
            </w:rPr>
            <w:t>8.2.3  财务风控建议</w:t>
          </w:r>
          <w:r>
            <w:rPr>
              <w:color w:val="auto"/>
            </w:rPr>
            <w:tab/>
          </w:r>
          <w:r>
            <w:rPr>
              <w:color w:val="auto"/>
            </w:rPr>
            <w:fldChar w:fldCharType="begin"/>
          </w:r>
          <w:r>
            <w:rPr>
              <w:color w:val="auto"/>
            </w:rPr>
            <w:instrText xml:space="preserve"> PAGEREF _Toc16194 \h </w:instrText>
          </w:r>
          <w:r>
            <w:rPr>
              <w:color w:val="auto"/>
            </w:rPr>
            <w:fldChar w:fldCharType="separate"/>
          </w:r>
          <w:r>
            <w:rPr>
              <w:color w:val="auto"/>
            </w:rPr>
            <w:t>23</w:t>
          </w:r>
          <w:r>
            <w:rPr>
              <w:color w:val="auto"/>
            </w:rPr>
            <w:fldChar w:fldCharType="end"/>
          </w:r>
          <w:r>
            <w:rPr>
              <w:color w:val="auto"/>
            </w:rPr>
            <w:fldChar w:fldCharType="end"/>
          </w:r>
        </w:p>
        <w:p w14:paraId="31E2AF30">
          <w:pPr>
            <w:pStyle w:val="8"/>
            <w:tabs>
              <w:tab w:val="right" w:leader="dot" w:pos="9026"/>
            </w:tabs>
            <w:rPr>
              <w:color w:val="auto"/>
            </w:rPr>
          </w:pPr>
          <w:r>
            <w:rPr>
              <w:color w:val="auto"/>
            </w:rPr>
            <w:fldChar w:fldCharType="begin"/>
          </w:r>
          <w:r>
            <w:rPr>
              <w:color w:val="auto"/>
            </w:rPr>
            <w:instrText xml:space="preserve"> HYPERLINK \l _Toc28970 </w:instrText>
          </w:r>
          <w:r>
            <w:rPr>
              <w:color w:val="auto"/>
            </w:rPr>
            <w:fldChar w:fldCharType="separate"/>
          </w:r>
          <w:r>
            <w:rPr>
              <w:rFonts w:ascii="黑体" w:hAnsi="黑体" w:eastAsia="黑体" w:cs="黑体"/>
              <w:bCs/>
              <w:color w:val="auto"/>
              <w:szCs w:val="24"/>
            </w:rPr>
            <w:t>8.2.4  周期节奏建议</w:t>
          </w:r>
          <w:r>
            <w:rPr>
              <w:color w:val="auto"/>
            </w:rPr>
            <w:tab/>
          </w:r>
          <w:r>
            <w:rPr>
              <w:color w:val="auto"/>
            </w:rPr>
            <w:fldChar w:fldCharType="begin"/>
          </w:r>
          <w:r>
            <w:rPr>
              <w:color w:val="auto"/>
            </w:rPr>
            <w:instrText xml:space="preserve"> PAGEREF _Toc28970 \h </w:instrText>
          </w:r>
          <w:r>
            <w:rPr>
              <w:color w:val="auto"/>
            </w:rPr>
            <w:fldChar w:fldCharType="separate"/>
          </w:r>
          <w:r>
            <w:rPr>
              <w:color w:val="auto"/>
            </w:rPr>
            <w:t>24</w:t>
          </w:r>
          <w:r>
            <w:rPr>
              <w:color w:val="auto"/>
            </w:rPr>
            <w:fldChar w:fldCharType="end"/>
          </w:r>
          <w:r>
            <w:rPr>
              <w:color w:val="auto"/>
            </w:rPr>
            <w:fldChar w:fldCharType="end"/>
          </w:r>
        </w:p>
        <w:p w14:paraId="0DE94708">
          <w:pPr>
            <w:pStyle w:val="10"/>
            <w:tabs>
              <w:tab w:val="right" w:leader="dot" w:pos="9026"/>
            </w:tabs>
            <w:rPr>
              <w:color w:val="auto"/>
            </w:rPr>
          </w:pPr>
          <w:r>
            <w:rPr>
              <w:color w:val="auto"/>
            </w:rPr>
            <w:fldChar w:fldCharType="begin"/>
          </w:r>
          <w:r>
            <w:rPr>
              <w:color w:val="auto"/>
            </w:rPr>
            <w:instrText xml:space="preserve"> HYPERLINK \l _Toc9636 </w:instrText>
          </w:r>
          <w:r>
            <w:rPr>
              <w:color w:val="auto"/>
            </w:rPr>
            <w:fldChar w:fldCharType="separate"/>
          </w:r>
          <w:r>
            <w:rPr>
              <w:rFonts w:ascii="黑体" w:hAnsi="黑体" w:eastAsia="黑体" w:cs="黑体"/>
              <w:bCs/>
              <w:color w:val="auto"/>
              <w:szCs w:val="36"/>
            </w:rPr>
            <w:t>参考文献</w:t>
          </w:r>
          <w:r>
            <w:rPr>
              <w:color w:val="auto"/>
            </w:rPr>
            <w:tab/>
          </w:r>
          <w:r>
            <w:rPr>
              <w:color w:val="auto"/>
            </w:rPr>
            <w:fldChar w:fldCharType="begin"/>
          </w:r>
          <w:r>
            <w:rPr>
              <w:color w:val="auto"/>
            </w:rPr>
            <w:instrText xml:space="preserve"> PAGEREF _Toc9636 \h </w:instrText>
          </w:r>
          <w:r>
            <w:rPr>
              <w:color w:val="auto"/>
            </w:rPr>
            <w:fldChar w:fldCharType="separate"/>
          </w:r>
          <w:r>
            <w:rPr>
              <w:color w:val="auto"/>
            </w:rPr>
            <w:t>25</w:t>
          </w:r>
          <w:r>
            <w:rPr>
              <w:color w:val="auto"/>
            </w:rPr>
            <w:fldChar w:fldCharType="end"/>
          </w:r>
          <w:r>
            <w:rPr>
              <w:color w:val="auto"/>
            </w:rPr>
            <w:fldChar w:fldCharType="end"/>
          </w:r>
        </w:p>
        <w:p w14:paraId="0A70E82A">
          <w:pPr>
            <w:pStyle w:val="10"/>
            <w:tabs>
              <w:tab w:val="right" w:leader="dot" w:pos="9026"/>
            </w:tabs>
            <w:rPr>
              <w:color w:val="auto"/>
            </w:rPr>
          </w:pPr>
          <w:r>
            <w:rPr>
              <w:color w:val="auto"/>
            </w:rPr>
            <w:fldChar w:fldCharType="begin"/>
          </w:r>
          <w:r>
            <w:rPr>
              <w:color w:val="auto"/>
            </w:rPr>
            <w:instrText xml:space="preserve"> HYPERLINK \l _Toc14356 </w:instrText>
          </w:r>
          <w:r>
            <w:rPr>
              <w:color w:val="auto"/>
            </w:rPr>
            <w:fldChar w:fldCharType="separate"/>
          </w:r>
          <w:r>
            <w:rPr>
              <w:rFonts w:ascii="黑体" w:hAnsi="黑体" w:eastAsia="黑体" w:cs="黑体"/>
              <w:bCs/>
              <w:color w:val="auto"/>
              <w:szCs w:val="36"/>
            </w:rPr>
            <w:t>附录1  样本公司清单</w:t>
          </w:r>
          <w:r>
            <w:rPr>
              <w:color w:val="auto"/>
            </w:rPr>
            <w:tab/>
          </w:r>
          <w:r>
            <w:rPr>
              <w:color w:val="auto"/>
            </w:rPr>
            <w:fldChar w:fldCharType="begin"/>
          </w:r>
          <w:r>
            <w:rPr>
              <w:color w:val="auto"/>
            </w:rPr>
            <w:instrText xml:space="preserve"> PAGEREF _Toc14356 \h </w:instrText>
          </w:r>
          <w:r>
            <w:rPr>
              <w:color w:val="auto"/>
            </w:rPr>
            <w:fldChar w:fldCharType="separate"/>
          </w:r>
          <w:r>
            <w:rPr>
              <w:color w:val="auto"/>
            </w:rPr>
            <w:t>26</w:t>
          </w:r>
          <w:r>
            <w:rPr>
              <w:color w:val="auto"/>
            </w:rPr>
            <w:fldChar w:fldCharType="end"/>
          </w:r>
          <w:r>
            <w:rPr>
              <w:color w:val="auto"/>
            </w:rPr>
            <w:fldChar w:fldCharType="end"/>
          </w:r>
        </w:p>
        <w:p w14:paraId="65A82BDB">
          <w:pPr>
            <w:pStyle w:val="10"/>
            <w:tabs>
              <w:tab w:val="right" w:leader="dot" w:pos="9026"/>
            </w:tabs>
            <w:rPr>
              <w:color w:val="auto"/>
            </w:rPr>
          </w:pPr>
          <w:r>
            <w:rPr>
              <w:color w:val="auto"/>
            </w:rPr>
            <w:fldChar w:fldCharType="begin"/>
          </w:r>
          <w:r>
            <w:rPr>
              <w:color w:val="auto"/>
            </w:rPr>
            <w:instrText xml:space="preserve"> HYPERLINK \l _Toc1498 </w:instrText>
          </w:r>
          <w:r>
            <w:rPr>
              <w:color w:val="auto"/>
            </w:rPr>
            <w:fldChar w:fldCharType="separate"/>
          </w:r>
          <w:r>
            <w:rPr>
              <w:rFonts w:ascii="黑体" w:hAnsi="黑体" w:eastAsia="黑体" w:cs="黑体"/>
              <w:bCs/>
              <w:color w:val="auto"/>
              <w:szCs w:val="36"/>
            </w:rPr>
            <w:t>附录2  数据字典与字段说明</w:t>
          </w:r>
          <w:r>
            <w:rPr>
              <w:color w:val="auto"/>
            </w:rPr>
            <w:tab/>
          </w:r>
          <w:r>
            <w:rPr>
              <w:color w:val="auto"/>
            </w:rPr>
            <w:fldChar w:fldCharType="begin"/>
          </w:r>
          <w:r>
            <w:rPr>
              <w:color w:val="auto"/>
            </w:rPr>
            <w:instrText xml:space="preserve"> PAGEREF _Toc1498 \h </w:instrText>
          </w:r>
          <w:r>
            <w:rPr>
              <w:color w:val="auto"/>
            </w:rPr>
            <w:fldChar w:fldCharType="separate"/>
          </w:r>
          <w:r>
            <w:rPr>
              <w:color w:val="auto"/>
            </w:rPr>
            <w:t>28</w:t>
          </w:r>
          <w:r>
            <w:rPr>
              <w:color w:val="auto"/>
            </w:rPr>
            <w:fldChar w:fldCharType="end"/>
          </w:r>
          <w:r>
            <w:rPr>
              <w:color w:val="auto"/>
            </w:rPr>
            <w:fldChar w:fldCharType="end"/>
          </w:r>
        </w:p>
        <w:p w14:paraId="230586AA">
          <w:pPr>
            <w:pStyle w:val="10"/>
            <w:tabs>
              <w:tab w:val="right" w:leader="dot" w:pos="9026"/>
            </w:tabs>
            <w:rPr>
              <w:color w:val="auto"/>
            </w:rPr>
          </w:pPr>
          <w:r>
            <w:rPr>
              <w:color w:val="auto"/>
            </w:rPr>
            <w:fldChar w:fldCharType="begin"/>
          </w:r>
          <w:r>
            <w:rPr>
              <w:color w:val="auto"/>
            </w:rPr>
            <w:instrText xml:space="preserve"> HYPERLINK \l _Toc3889 </w:instrText>
          </w:r>
          <w:r>
            <w:rPr>
              <w:color w:val="auto"/>
            </w:rPr>
            <w:fldChar w:fldCharType="separate"/>
          </w:r>
          <w:r>
            <w:rPr>
              <w:rFonts w:ascii="黑体" w:hAnsi="黑体" w:eastAsia="黑体" w:cs="黑体"/>
              <w:bCs/>
              <w:color w:val="auto"/>
              <w:szCs w:val="36"/>
            </w:rPr>
            <w:t>附录3  数据挖掘与分析规则集</w:t>
          </w:r>
          <w:r>
            <w:rPr>
              <w:color w:val="auto"/>
            </w:rPr>
            <w:tab/>
          </w:r>
          <w:r>
            <w:rPr>
              <w:color w:val="auto"/>
            </w:rPr>
            <w:fldChar w:fldCharType="begin"/>
          </w:r>
          <w:r>
            <w:rPr>
              <w:color w:val="auto"/>
            </w:rPr>
            <w:instrText xml:space="preserve"> PAGEREF _Toc3889 \h </w:instrText>
          </w:r>
          <w:r>
            <w:rPr>
              <w:color w:val="auto"/>
            </w:rPr>
            <w:fldChar w:fldCharType="separate"/>
          </w:r>
          <w:r>
            <w:rPr>
              <w:color w:val="auto"/>
            </w:rPr>
            <w:t>30</w:t>
          </w:r>
          <w:r>
            <w:rPr>
              <w:color w:val="auto"/>
            </w:rPr>
            <w:fldChar w:fldCharType="end"/>
          </w:r>
          <w:r>
            <w:rPr>
              <w:color w:val="auto"/>
            </w:rPr>
            <w:fldChar w:fldCharType="end"/>
          </w:r>
        </w:p>
        <w:p w14:paraId="4FA7FD21">
          <w:pPr>
            <w:pStyle w:val="12"/>
            <w:tabs>
              <w:tab w:val="right" w:leader="dot" w:pos="9026"/>
            </w:tabs>
            <w:rPr>
              <w:color w:val="auto"/>
            </w:rPr>
          </w:pPr>
          <w:r>
            <w:rPr>
              <w:color w:val="auto"/>
            </w:rPr>
            <w:fldChar w:fldCharType="begin"/>
          </w:r>
          <w:r>
            <w:rPr>
              <w:color w:val="auto"/>
            </w:rPr>
            <w:instrText xml:space="preserve"> HYPERLINK \l _Toc21859 </w:instrText>
          </w:r>
          <w:r>
            <w:rPr>
              <w:color w:val="auto"/>
            </w:rPr>
            <w:fldChar w:fldCharType="separate"/>
          </w:r>
          <w:r>
            <w:rPr>
              <w:rFonts w:ascii="黑体" w:hAnsi="黑体" w:eastAsia="黑体" w:cs="黑体"/>
              <w:bCs/>
              <w:color w:val="auto"/>
              <w:szCs w:val="28"/>
            </w:rPr>
            <w:t>附3.1  数据预处理规则</w:t>
          </w:r>
          <w:r>
            <w:rPr>
              <w:color w:val="auto"/>
            </w:rPr>
            <w:tab/>
          </w:r>
          <w:r>
            <w:rPr>
              <w:color w:val="auto"/>
            </w:rPr>
            <w:fldChar w:fldCharType="begin"/>
          </w:r>
          <w:r>
            <w:rPr>
              <w:color w:val="auto"/>
            </w:rPr>
            <w:instrText xml:space="preserve"> PAGEREF _Toc21859 \h </w:instrText>
          </w:r>
          <w:r>
            <w:rPr>
              <w:color w:val="auto"/>
            </w:rPr>
            <w:fldChar w:fldCharType="separate"/>
          </w:r>
          <w:r>
            <w:rPr>
              <w:color w:val="auto"/>
            </w:rPr>
            <w:t>30</w:t>
          </w:r>
          <w:r>
            <w:rPr>
              <w:color w:val="auto"/>
            </w:rPr>
            <w:fldChar w:fldCharType="end"/>
          </w:r>
          <w:r>
            <w:rPr>
              <w:color w:val="auto"/>
            </w:rPr>
            <w:fldChar w:fldCharType="end"/>
          </w:r>
        </w:p>
        <w:p w14:paraId="2BCA7D44">
          <w:pPr>
            <w:pStyle w:val="12"/>
            <w:tabs>
              <w:tab w:val="right" w:leader="dot" w:pos="9026"/>
            </w:tabs>
            <w:rPr>
              <w:color w:val="auto"/>
            </w:rPr>
          </w:pPr>
          <w:r>
            <w:rPr>
              <w:color w:val="auto"/>
            </w:rPr>
            <w:fldChar w:fldCharType="begin"/>
          </w:r>
          <w:r>
            <w:rPr>
              <w:color w:val="auto"/>
            </w:rPr>
            <w:instrText xml:space="preserve"> HYPERLINK \l _Toc28060 </w:instrText>
          </w:r>
          <w:r>
            <w:rPr>
              <w:color w:val="auto"/>
            </w:rPr>
            <w:fldChar w:fldCharType="separate"/>
          </w:r>
          <w:r>
            <w:rPr>
              <w:rFonts w:ascii="黑体" w:hAnsi="黑体" w:eastAsia="黑体" w:cs="黑体"/>
              <w:bCs/>
              <w:color w:val="auto"/>
              <w:szCs w:val="28"/>
            </w:rPr>
            <w:t>附3.2  指标分级阈值</w:t>
          </w:r>
          <w:r>
            <w:rPr>
              <w:color w:val="auto"/>
            </w:rPr>
            <w:tab/>
          </w:r>
          <w:r>
            <w:rPr>
              <w:color w:val="auto"/>
            </w:rPr>
            <w:fldChar w:fldCharType="begin"/>
          </w:r>
          <w:r>
            <w:rPr>
              <w:color w:val="auto"/>
            </w:rPr>
            <w:instrText xml:space="preserve"> PAGEREF _Toc28060 \h </w:instrText>
          </w:r>
          <w:r>
            <w:rPr>
              <w:color w:val="auto"/>
            </w:rPr>
            <w:fldChar w:fldCharType="separate"/>
          </w:r>
          <w:r>
            <w:rPr>
              <w:color w:val="auto"/>
            </w:rPr>
            <w:t>30</w:t>
          </w:r>
          <w:r>
            <w:rPr>
              <w:color w:val="auto"/>
            </w:rPr>
            <w:fldChar w:fldCharType="end"/>
          </w:r>
          <w:r>
            <w:rPr>
              <w:color w:val="auto"/>
            </w:rPr>
            <w:fldChar w:fldCharType="end"/>
          </w:r>
        </w:p>
        <w:p w14:paraId="30339B86">
          <w:pPr>
            <w:pStyle w:val="12"/>
            <w:tabs>
              <w:tab w:val="right" w:leader="dot" w:pos="9026"/>
            </w:tabs>
            <w:rPr>
              <w:color w:val="auto"/>
            </w:rPr>
          </w:pPr>
          <w:r>
            <w:rPr>
              <w:color w:val="auto"/>
            </w:rPr>
            <w:fldChar w:fldCharType="begin"/>
          </w:r>
          <w:r>
            <w:rPr>
              <w:color w:val="auto"/>
            </w:rPr>
            <w:instrText xml:space="preserve"> HYPERLINK \l _Toc28724 </w:instrText>
          </w:r>
          <w:r>
            <w:rPr>
              <w:color w:val="auto"/>
            </w:rPr>
            <w:fldChar w:fldCharType="separate"/>
          </w:r>
          <w:r>
            <w:rPr>
              <w:rFonts w:ascii="黑体" w:hAnsi="黑体" w:eastAsia="黑体" w:cs="黑体"/>
              <w:bCs/>
              <w:color w:val="auto"/>
              <w:szCs w:val="28"/>
            </w:rPr>
            <w:t>附3.3  象限分类规则</w:t>
          </w:r>
          <w:r>
            <w:rPr>
              <w:color w:val="auto"/>
            </w:rPr>
            <w:tab/>
          </w:r>
          <w:r>
            <w:rPr>
              <w:color w:val="auto"/>
            </w:rPr>
            <w:fldChar w:fldCharType="begin"/>
          </w:r>
          <w:r>
            <w:rPr>
              <w:color w:val="auto"/>
            </w:rPr>
            <w:instrText xml:space="preserve"> PAGEREF _Toc28724 \h </w:instrText>
          </w:r>
          <w:r>
            <w:rPr>
              <w:color w:val="auto"/>
            </w:rPr>
            <w:fldChar w:fldCharType="separate"/>
          </w:r>
          <w:r>
            <w:rPr>
              <w:color w:val="auto"/>
            </w:rPr>
            <w:t>31</w:t>
          </w:r>
          <w:r>
            <w:rPr>
              <w:color w:val="auto"/>
            </w:rPr>
            <w:fldChar w:fldCharType="end"/>
          </w:r>
          <w:r>
            <w:rPr>
              <w:color w:val="auto"/>
            </w:rPr>
            <w:fldChar w:fldCharType="end"/>
          </w:r>
        </w:p>
        <w:p w14:paraId="3302270B">
          <w:pPr>
            <w:pStyle w:val="12"/>
            <w:tabs>
              <w:tab w:val="right" w:leader="dot" w:pos="9026"/>
            </w:tabs>
            <w:rPr>
              <w:color w:val="auto"/>
            </w:rPr>
          </w:pPr>
          <w:r>
            <w:rPr>
              <w:color w:val="auto"/>
            </w:rPr>
            <w:fldChar w:fldCharType="begin"/>
          </w:r>
          <w:r>
            <w:rPr>
              <w:color w:val="auto"/>
            </w:rPr>
            <w:instrText xml:space="preserve"> HYPERLINK \l _Toc9107 </w:instrText>
          </w:r>
          <w:r>
            <w:rPr>
              <w:color w:val="auto"/>
            </w:rPr>
            <w:fldChar w:fldCharType="separate"/>
          </w:r>
          <w:r>
            <w:rPr>
              <w:rFonts w:ascii="黑体" w:hAnsi="黑体" w:eastAsia="黑体" w:cs="黑体"/>
              <w:bCs/>
              <w:color w:val="auto"/>
              <w:szCs w:val="28"/>
            </w:rPr>
            <w:t>附3.4  ROE 形态分类规则</w:t>
          </w:r>
          <w:r>
            <w:rPr>
              <w:color w:val="auto"/>
            </w:rPr>
            <w:tab/>
          </w:r>
          <w:r>
            <w:rPr>
              <w:color w:val="auto"/>
            </w:rPr>
            <w:fldChar w:fldCharType="begin"/>
          </w:r>
          <w:r>
            <w:rPr>
              <w:color w:val="auto"/>
            </w:rPr>
            <w:instrText xml:space="preserve"> PAGEREF _Toc9107 \h </w:instrText>
          </w:r>
          <w:r>
            <w:rPr>
              <w:color w:val="auto"/>
            </w:rPr>
            <w:fldChar w:fldCharType="separate"/>
          </w:r>
          <w:r>
            <w:rPr>
              <w:color w:val="auto"/>
            </w:rPr>
            <w:t>31</w:t>
          </w:r>
          <w:r>
            <w:rPr>
              <w:color w:val="auto"/>
            </w:rPr>
            <w:fldChar w:fldCharType="end"/>
          </w:r>
          <w:r>
            <w:rPr>
              <w:color w:val="auto"/>
            </w:rPr>
            <w:fldChar w:fldCharType="end"/>
          </w:r>
        </w:p>
        <w:p w14:paraId="4A361328">
          <w:pPr>
            <w:rPr>
              <w:color w:val="auto"/>
            </w:rPr>
          </w:pPr>
          <w:r>
            <w:rPr>
              <w:color w:val="auto"/>
            </w:rPr>
            <w:fldChar w:fldCharType="end"/>
          </w:r>
        </w:p>
      </w:sdtContent>
    </w:sdt>
    <w:p w14:paraId="2CE63F3A">
      <w:pPr>
        <w:pStyle w:val="2"/>
        <w:pageBreakBefore/>
        <w:spacing w:before="480" w:after="360"/>
        <w:jc w:val="center"/>
        <w:rPr>
          <w:color w:val="auto"/>
        </w:rPr>
      </w:pPr>
      <w:bookmarkStart w:id="0" w:name="_Toc6872"/>
      <w:r>
        <w:rPr>
          <w:rFonts w:ascii="黑体" w:hAnsi="黑体" w:eastAsia="黑体" w:cs="黑体"/>
          <w:b/>
          <w:bCs/>
          <w:color w:val="auto"/>
          <w:sz w:val="36"/>
          <w:szCs w:val="36"/>
        </w:rPr>
        <w:t>第1章  引言</w:t>
      </w:r>
      <w:bookmarkEnd w:id="0"/>
    </w:p>
    <w:p w14:paraId="2277F51C">
      <w:pPr>
        <w:pStyle w:val="3"/>
        <w:spacing w:before="320" w:after="200"/>
        <w:jc w:val="left"/>
        <w:rPr>
          <w:color w:val="auto"/>
        </w:rPr>
      </w:pPr>
      <w:bookmarkStart w:id="1" w:name="_Toc3219"/>
      <w:r>
        <w:rPr>
          <w:rFonts w:ascii="黑体" w:hAnsi="黑体" w:eastAsia="黑体" w:cs="黑体"/>
          <w:b/>
          <w:bCs/>
          <w:color w:val="auto"/>
          <w:sz w:val="28"/>
          <w:szCs w:val="28"/>
        </w:rPr>
        <w:t>1.1  研究目的和意义</w:t>
      </w:r>
      <w:bookmarkEnd w:id="1"/>
    </w:p>
    <w:p w14:paraId="0CB8F3C6">
      <w:pPr>
        <w:spacing w:before="0" w:after="0" w:line="360" w:lineRule="auto"/>
        <w:ind w:firstLine="480"/>
        <w:jc w:val="both"/>
        <w:rPr>
          <w:color w:val="auto"/>
        </w:rPr>
      </w:pPr>
      <w:r>
        <w:rPr>
          <w:rFonts w:ascii="宋体" w:hAnsi="宋体" w:eastAsia="宋体" w:cs="宋体"/>
          <w:color w:val="auto"/>
          <w:sz w:val="24"/>
          <w:szCs w:val="24"/>
        </w:rPr>
        <w:t>现金流是企业运营的"血液"。账面利润可以滞后兑现，但工资、租金、货款、利息这些刚性支出每天都要用现金。近几年 A 股市场上不乏"账面盈利、现金告急"的案例：应收账款挂账过久、投融资期限错配、库存堆积导致经营性现金流持续为负，最终把一家原本盈利的公司拖入资金链危机。</w:t>
      </w:r>
    </w:p>
    <w:p w14:paraId="56892F8D">
      <w:pPr>
        <w:spacing w:before="0" w:after="0" w:line="360" w:lineRule="auto"/>
        <w:ind w:firstLine="480"/>
        <w:jc w:val="both"/>
        <w:rPr>
          <w:color w:val="auto"/>
        </w:rPr>
      </w:pPr>
      <w:r>
        <w:rPr>
          <w:rFonts w:ascii="宋体" w:hAnsi="宋体" w:eastAsia="宋体" w:cs="宋体"/>
          <w:color w:val="auto"/>
          <w:sz w:val="24"/>
          <w:szCs w:val="24"/>
        </w:rPr>
        <w:t>本研究想做的事情比较具体：选取 A 股 9 个代表性行业的上市公司，把 2020—2023 年这 4 年的现金流量表与财务比率数据汇总起来，借助 FineBI 构建一组可视化看板，观察不同行业在偿债能力、盈利质量、现金流稳定性上的差异，并尝试给出可操作的行业配置与个股筛选建议。</w:t>
      </w:r>
    </w:p>
    <w:p w14:paraId="05F1C18F">
      <w:pPr>
        <w:spacing w:before="0" w:after="0" w:line="360" w:lineRule="auto"/>
        <w:ind w:firstLine="480"/>
        <w:jc w:val="both"/>
        <w:rPr>
          <w:color w:val="auto"/>
        </w:rPr>
      </w:pPr>
      <w:r>
        <w:rPr>
          <w:rFonts w:ascii="宋体" w:hAnsi="宋体" w:eastAsia="宋体" w:cs="宋体"/>
          <w:color w:val="auto"/>
          <w:sz w:val="24"/>
          <w:szCs w:val="24"/>
        </w:rPr>
        <w:t>研究的价值有两层。一是把"现金流好不好"这件事拆成 9 个行业的横向对比，让笼统的"现金流管理"落到具体的行业画像与典型公司上，便于投资者和企业管理者对照；二是把数据获取、清洗、可视化串成一条可复现的工作流，后续若要更新到 2024、2025 年数据，按相同流程重跑即可。</w:t>
      </w:r>
    </w:p>
    <w:p w14:paraId="2B8D1651">
      <w:pPr>
        <w:pStyle w:val="3"/>
        <w:spacing w:before="320" w:after="200"/>
        <w:jc w:val="left"/>
        <w:rPr>
          <w:color w:val="auto"/>
        </w:rPr>
      </w:pPr>
      <w:bookmarkStart w:id="2" w:name="_Toc5474"/>
      <w:r>
        <w:rPr>
          <w:rFonts w:ascii="黑体" w:hAnsi="黑体" w:eastAsia="黑体" w:cs="黑体"/>
          <w:b/>
          <w:bCs/>
          <w:color w:val="auto"/>
          <w:sz w:val="28"/>
          <w:szCs w:val="28"/>
        </w:rPr>
        <w:t>1.2  国内外研究现状</w:t>
      </w:r>
      <w:bookmarkEnd w:id="2"/>
    </w:p>
    <w:p w14:paraId="309DD53C">
      <w:pPr>
        <w:spacing w:before="0" w:after="0" w:line="360" w:lineRule="auto"/>
        <w:ind w:firstLine="480"/>
        <w:jc w:val="both"/>
        <w:rPr>
          <w:color w:val="auto"/>
        </w:rPr>
      </w:pPr>
      <w:r>
        <w:rPr>
          <w:rFonts w:ascii="宋体" w:hAnsi="宋体" w:eastAsia="宋体" w:cs="宋体"/>
          <w:color w:val="auto"/>
          <w:sz w:val="24"/>
          <w:szCs w:val="24"/>
        </w:rPr>
        <w:t>国外早期研究多围绕"现金流为什么比利润重要"展开。Jensen（1986）提出自由现金流假说，担心管理层在自由现金流过剩时做出低效投资，反而损害股东利益。Dechow 与 Skinner（2000）从盈余质量角度指出，现金流比权责发生制下的会计利润更难被操纵，是判断企业能否持续经营的更可靠信号。Almeida、Campello 与 Weisbach（2004）的现金—现金流敏感度模型则进一步说明，融资约束越紧的企业，越依赖经营性现金流来维持现金储备。</w:t>
      </w:r>
    </w:p>
    <w:p w14:paraId="3861F29E">
      <w:pPr>
        <w:spacing w:before="0" w:after="0" w:line="360" w:lineRule="auto"/>
        <w:ind w:firstLine="480"/>
        <w:jc w:val="both"/>
        <w:rPr>
          <w:color w:val="auto"/>
        </w:rPr>
      </w:pPr>
      <w:r>
        <w:rPr>
          <w:rFonts w:ascii="宋体" w:hAnsi="宋体" w:eastAsia="宋体" w:cs="宋体"/>
          <w:color w:val="auto"/>
          <w:sz w:val="24"/>
          <w:szCs w:val="24"/>
        </w:rPr>
        <w:t>国内研究起步较晚，但近 20 年积累了不少证据。屈耀辉、傅元略（2007）用制造业上市公司样本，验证了经营性现金流对债务偿付能力的正向作用；张铁铸（2010）发现现金流波动越大的企业，越倾向于多备现金、少借有息债。王化成等（2018）、姜国华等（2020）则借助多行业面板数据，把现金流质量与企业绩效、风险水平的关联度量化下来。</w:t>
      </w:r>
    </w:p>
    <w:p w14:paraId="53829A45">
      <w:pPr>
        <w:spacing w:before="0" w:after="0" w:line="360" w:lineRule="auto"/>
        <w:ind w:firstLine="480"/>
        <w:jc w:val="both"/>
        <w:rPr>
          <w:color w:val="auto"/>
        </w:rPr>
      </w:pPr>
      <w:r>
        <w:rPr>
          <w:rFonts w:ascii="宋体" w:hAnsi="宋体" w:eastAsia="宋体" w:cs="宋体"/>
          <w:color w:val="auto"/>
          <w:sz w:val="24"/>
          <w:szCs w:val="24"/>
        </w:rPr>
        <w:t>已有文献的不足主要有两点：一是聚焦单一行业或全样本均值的多，做跨行业精细对比的少；二是分析手段以回归方程为主，可视化看板这类便于业务人员理解的工具用得不多。本研究希望在这两个方向上做一些补充——覆盖 9 个行业的横向对比，同时把分析过程搬到 FineBI 上，让结论更直观。</w:t>
      </w:r>
    </w:p>
    <w:p w14:paraId="632DCBD1">
      <w:pPr>
        <w:pStyle w:val="3"/>
        <w:spacing w:before="320" w:after="200"/>
        <w:jc w:val="left"/>
        <w:rPr>
          <w:color w:val="auto"/>
        </w:rPr>
      </w:pPr>
      <w:bookmarkStart w:id="3" w:name="_Toc32166"/>
      <w:r>
        <w:rPr>
          <w:rFonts w:ascii="黑体" w:hAnsi="黑体" w:eastAsia="黑体" w:cs="黑体"/>
          <w:b/>
          <w:bCs/>
          <w:color w:val="auto"/>
          <w:sz w:val="28"/>
          <w:szCs w:val="28"/>
        </w:rPr>
        <w:t>1.3  本研究简介和分析思路</w:t>
      </w:r>
      <w:bookmarkEnd w:id="3"/>
    </w:p>
    <w:p w14:paraId="36CF3D35">
      <w:pPr>
        <w:spacing w:before="0" w:after="0" w:line="360" w:lineRule="auto"/>
        <w:ind w:firstLine="480"/>
        <w:jc w:val="both"/>
        <w:rPr>
          <w:color w:val="auto"/>
        </w:rPr>
      </w:pPr>
      <w:r>
        <w:rPr>
          <w:rFonts w:ascii="宋体" w:hAnsi="宋体" w:eastAsia="宋体" w:cs="宋体"/>
          <w:color w:val="auto"/>
          <w:sz w:val="24"/>
          <w:szCs w:val="24"/>
        </w:rPr>
        <w:t>研究主题是"现金流管理对企业财务稳定性的影响"。样本来自 A 股，覆盖银行、化学制药、化工原料、半导体、专用机械、食品、汽车整车、白酒、纺织、农业综合 10 个目标行业，每个行业初步抽取 6 家公司，初始样本 60 家。时间区间为 2020 年至 2023 年的年度数据。经过去重、缺失值处理、3σ 异常值剔除等步骤后（细节见第 2 章），银行行业由于财务报表科目结构差异较大，在指标比较时会扭曲整体口径，被整体剔除；最终落地到 FineBI 上的有效样本是 9 个行业 36 家公司、134 条年度记录、19 个字段。</w:t>
      </w:r>
    </w:p>
    <w:p w14:paraId="36AFC9D6">
      <w:pPr>
        <w:spacing w:before="0" w:after="0" w:line="360" w:lineRule="auto"/>
        <w:ind w:firstLine="480"/>
        <w:jc w:val="both"/>
        <w:rPr>
          <w:color w:val="auto"/>
        </w:rPr>
      </w:pPr>
      <w:r>
        <w:rPr>
          <w:rFonts w:ascii="宋体" w:hAnsi="宋体" w:eastAsia="宋体" w:cs="宋体"/>
          <w:color w:val="auto"/>
          <w:sz w:val="24"/>
          <w:szCs w:val="24"/>
        </w:rPr>
        <w:t>整体技术路径分四步走。第一步用 Tushare Pro 接口抓取现金流量表和财务指标，过程脚本化，便于事后复现。第二步用 Python（pandas）做清洗：去重、缺失值填补、类型统一、3σ 去极值、单位换算到亿元。第三步在 FineBI 中拖出 5 个看板，依次对应行业现金流总览、偿债能力、盈利能力、负债—盈利交叉、重点行业个股深度对比。第四步把图表里读出的现象拼成结论，给出行业配置、个股选择、财务风控、周期节奏 4 个角度的建议。</w:t>
      </w:r>
    </w:p>
    <w:p w14:paraId="4A34A204">
      <w:pPr>
        <w:spacing w:before="0" w:after="0" w:line="360" w:lineRule="auto"/>
        <w:ind w:firstLine="480"/>
        <w:jc w:val="both"/>
        <w:rPr>
          <w:color w:val="auto"/>
        </w:rPr>
      </w:pPr>
      <w:r>
        <w:rPr>
          <w:rFonts w:ascii="宋体" w:hAnsi="宋体" w:eastAsia="宋体" w:cs="宋体"/>
          <w:color w:val="auto"/>
          <w:sz w:val="24"/>
          <w:szCs w:val="24"/>
        </w:rPr>
        <w:t>分析顺序按照"先看全局，再看行业，再看公司"的层级展开。第 3 章从全行业视角观察现金流的总量分布和年度走势，解决"哪个行业造血强、哪一年现金最紧"的问题；第 4 至 6 章把焦点收到行业之间，分别比较偿债能力、盈利能力，以及负债与盈利的匹配性；第 7 章下沉到公司，挑出汽车整车和白酒两个分化最明显的行业，看龙头与尾部之间的差距。这样从全行业一路看到代表性公司，结论才不会停留在均值上。</w:t>
      </w:r>
    </w:p>
    <w:p w14:paraId="3603ECF0">
      <w:pPr>
        <w:pStyle w:val="2"/>
        <w:pageBreakBefore/>
        <w:spacing w:before="480" w:after="360"/>
        <w:jc w:val="center"/>
        <w:rPr>
          <w:color w:val="auto"/>
        </w:rPr>
      </w:pPr>
      <w:bookmarkStart w:id="4" w:name="_Toc9908"/>
      <w:r>
        <w:rPr>
          <w:rFonts w:ascii="黑体" w:hAnsi="黑体" w:eastAsia="黑体" w:cs="黑体"/>
          <w:b/>
          <w:bCs/>
          <w:color w:val="auto"/>
          <w:sz w:val="36"/>
          <w:szCs w:val="36"/>
        </w:rPr>
        <w:t>第2章  数据获取与整理</w:t>
      </w:r>
      <w:bookmarkEnd w:id="4"/>
    </w:p>
    <w:p w14:paraId="5E335FB3">
      <w:pPr>
        <w:pStyle w:val="3"/>
        <w:spacing w:before="320" w:after="200"/>
        <w:jc w:val="left"/>
        <w:rPr>
          <w:color w:val="auto"/>
        </w:rPr>
      </w:pPr>
      <w:bookmarkStart w:id="5" w:name="_Toc2089"/>
      <w:r>
        <w:rPr>
          <w:rFonts w:ascii="黑体" w:hAnsi="黑体" w:eastAsia="黑体" w:cs="黑体"/>
          <w:b/>
          <w:bCs/>
          <w:color w:val="auto"/>
          <w:sz w:val="28"/>
          <w:szCs w:val="28"/>
        </w:rPr>
        <w:t>2.1  数据获取</w:t>
      </w:r>
      <w:bookmarkEnd w:id="5"/>
    </w:p>
    <w:p w14:paraId="5C0A13CC">
      <w:pPr>
        <w:spacing w:before="0" w:after="0" w:line="360" w:lineRule="auto"/>
        <w:ind w:firstLine="480"/>
        <w:jc w:val="both"/>
        <w:rPr>
          <w:color w:val="auto"/>
        </w:rPr>
      </w:pPr>
      <w:r>
        <w:rPr>
          <w:rFonts w:ascii="宋体" w:hAnsi="宋体" w:eastAsia="宋体" w:cs="宋体"/>
          <w:color w:val="auto"/>
          <w:sz w:val="24"/>
          <w:szCs w:val="24"/>
        </w:rPr>
        <w:t>数据来自 Tushare Pro 金融数据平台。这是学术界和量化机构常用的一个 A 股数据接口，报表数据覆盖较全、更新也较及时。本研究通过调用其 API 批量拉取公司财务数据，脚本保留在本地，后续要扩展样本或更新到后续年度只需调整参数重跑。</w:t>
      </w:r>
    </w:p>
    <w:p w14:paraId="455320EF">
      <w:pPr>
        <w:spacing w:before="0" w:after="0" w:line="360" w:lineRule="auto"/>
        <w:ind w:firstLine="480"/>
        <w:jc w:val="both"/>
        <w:rPr>
          <w:color w:val="auto"/>
        </w:rPr>
      </w:pPr>
      <w:r>
        <w:rPr>
          <w:rFonts w:ascii="宋体" w:hAnsi="宋体" w:eastAsia="宋体" w:cs="宋体"/>
          <w:color w:val="auto"/>
          <w:sz w:val="24"/>
          <w:szCs w:val="24"/>
        </w:rPr>
        <w:t>样本选取以行业均衡为原则，选中银行、化学制药、化工原料、半导体、专用机械、食品、汽车整车、白酒、纺织、农业综合 10 个目标行业，每个行业取前 6 家上市公司。初始样本 60 家，时间区间 2020 年至 2023 年。样本公司的行业分布见表 2-1。</w:t>
      </w:r>
    </w:p>
    <w:p w14:paraId="5F8451BF">
      <w:pPr>
        <w:spacing w:before="60" w:after="120"/>
        <w:jc w:val="center"/>
        <w:rPr>
          <w:color w:val="auto"/>
        </w:rPr>
      </w:pPr>
      <w:r>
        <w:rPr>
          <w:rFonts w:ascii="宋体" w:hAnsi="宋体" w:eastAsia="宋体" w:cs="宋体"/>
          <w:b/>
          <w:bCs/>
          <w:color w:val="auto"/>
          <w:sz w:val="21"/>
          <w:szCs w:val="21"/>
        </w:rPr>
        <w:t>表2-1  样本公司行业分布</w:t>
      </w:r>
    </w:p>
    <w:tbl>
      <w:tblPr>
        <w:tblStyle w:val="14"/>
        <w:tblW w:w="6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0"/>
        <w:gridCol w:w="2200"/>
        <w:gridCol w:w="2200"/>
      </w:tblGrid>
      <w:tr w14:paraId="0C83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2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00" w:type="dxa"/>
              <w:bottom w:w="80" w:type="dxa"/>
              <w:right w:w="100" w:type="dxa"/>
            </w:tcMar>
          </w:tcPr>
          <w:p w14:paraId="60018919">
            <w:pPr>
              <w:spacing w:before="0" w:after="0" w:line="320" w:lineRule="auto"/>
              <w:jc w:val="both"/>
              <w:rPr>
                <w:color w:val="auto"/>
              </w:rPr>
            </w:pPr>
            <w:r>
              <w:rPr>
                <w:rFonts w:ascii="宋体" w:hAnsi="宋体" w:eastAsia="宋体" w:cs="宋体"/>
                <w:b/>
                <w:bCs/>
                <w:color w:val="auto"/>
                <w:sz w:val="21"/>
                <w:szCs w:val="21"/>
              </w:rPr>
              <w:t>行业</w:t>
            </w:r>
          </w:p>
        </w:tc>
        <w:tc>
          <w:tcPr>
            <w:tcW w:w="22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00" w:type="dxa"/>
              <w:bottom w:w="80" w:type="dxa"/>
              <w:right w:w="100" w:type="dxa"/>
            </w:tcMar>
          </w:tcPr>
          <w:p w14:paraId="354B98BE">
            <w:pPr>
              <w:spacing w:before="0" w:after="0" w:line="320" w:lineRule="auto"/>
              <w:jc w:val="both"/>
              <w:rPr>
                <w:color w:val="auto"/>
              </w:rPr>
            </w:pPr>
            <w:r>
              <w:rPr>
                <w:rFonts w:ascii="宋体" w:hAnsi="宋体" w:eastAsia="宋体" w:cs="宋体"/>
                <w:b/>
                <w:bCs/>
                <w:color w:val="auto"/>
                <w:sz w:val="21"/>
                <w:szCs w:val="21"/>
              </w:rPr>
              <w:t>样本公司数（家）</w:t>
            </w:r>
          </w:p>
        </w:tc>
        <w:tc>
          <w:tcPr>
            <w:tcW w:w="22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00" w:type="dxa"/>
              <w:bottom w:w="80" w:type="dxa"/>
              <w:right w:w="100" w:type="dxa"/>
            </w:tcMar>
          </w:tcPr>
          <w:p w14:paraId="10919C4D">
            <w:pPr>
              <w:spacing w:before="0" w:after="0" w:line="320" w:lineRule="auto"/>
              <w:jc w:val="both"/>
              <w:rPr>
                <w:color w:val="auto"/>
              </w:rPr>
            </w:pPr>
            <w:r>
              <w:rPr>
                <w:rFonts w:ascii="宋体" w:hAnsi="宋体" w:eastAsia="宋体" w:cs="宋体"/>
                <w:b/>
                <w:bCs/>
                <w:color w:val="auto"/>
                <w:sz w:val="21"/>
                <w:szCs w:val="21"/>
              </w:rPr>
              <w:t>数据年度</w:t>
            </w:r>
          </w:p>
        </w:tc>
      </w:tr>
      <w:tr w14:paraId="7C20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409B269">
            <w:pPr>
              <w:spacing w:before="0" w:after="0" w:line="320" w:lineRule="auto"/>
              <w:jc w:val="both"/>
              <w:rPr>
                <w:color w:val="auto"/>
              </w:rPr>
            </w:pPr>
            <w:r>
              <w:rPr>
                <w:rFonts w:ascii="宋体" w:hAnsi="宋体" w:eastAsia="宋体" w:cs="宋体"/>
                <w:b w:val="0"/>
                <w:bCs w:val="0"/>
                <w:color w:val="auto"/>
                <w:sz w:val="21"/>
                <w:szCs w:val="21"/>
              </w:rPr>
              <w:t>银行</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72722A0">
            <w:pPr>
              <w:spacing w:before="0" w:after="0" w:line="320" w:lineRule="auto"/>
              <w:jc w:val="both"/>
              <w:rPr>
                <w:color w:val="auto"/>
              </w:rPr>
            </w:pPr>
            <w:r>
              <w:rPr>
                <w:rFonts w:ascii="宋体" w:hAnsi="宋体" w:eastAsia="宋体" w:cs="宋体"/>
                <w:b w:val="0"/>
                <w:bCs w:val="0"/>
                <w:color w:val="auto"/>
                <w:sz w:val="21"/>
                <w:szCs w:val="21"/>
              </w:rPr>
              <w:t>6</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905D3FF">
            <w:pPr>
              <w:spacing w:before="0" w:after="0" w:line="320" w:lineRule="auto"/>
              <w:jc w:val="both"/>
              <w:rPr>
                <w:color w:val="auto"/>
              </w:rPr>
            </w:pPr>
            <w:r>
              <w:rPr>
                <w:rFonts w:ascii="宋体" w:hAnsi="宋体" w:eastAsia="宋体" w:cs="宋体"/>
                <w:b w:val="0"/>
                <w:bCs w:val="0"/>
                <w:color w:val="auto"/>
                <w:sz w:val="21"/>
                <w:szCs w:val="21"/>
              </w:rPr>
              <w:t>2020—2023</w:t>
            </w:r>
          </w:p>
        </w:tc>
      </w:tr>
      <w:tr w14:paraId="7257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D252EF4">
            <w:pPr>
              <w:spacing w:before="0" w:after="0" w:line="320" w:lineRule="auto"/>
              <w:jc w:val="both"/>
              <w:rPr>
                <w:color w:val="auto"/>
              </w:rPr>
            </w:pPr>
            <w:r>
              <w:rPr>
                <w:rFonts w:ascii="宋体" w:hAnsi="宋体" w:eastAsia="宋体" w:cs="宋体"/>
                <w:b w:val="0"/>
                <w:bCs w:val="0"/>
                <w:color w:val="auto"/>
                <w:sz w:val="21"/>
                <w:szCs w:val="21"/>
              </w:rPr>
              <w:t>化学制药</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AEB7773">
            <w:pPr>
              <w:spacing w:before="0" w:after="0" w:line="320" w:lineRule="auto"/>
              <w:jc w:val="both"/>
              <w:rPr>
                <w:color w:val="auto"/>
              </w:rPr>
            </w:pPr>
            <w:r>
              <w:rPr>
                <w:rFonts w:ascii="宋体" w:hAnsi="宋体" w:eastAsia="宋体" w:cs="宋体"/>
                <w:b w:val="0"/>
                <w:bCs w:val="0"/>
                <w:color w:val="auto"/>
                <w:sz w:val="21"/>
                <w:szCs w:val="21"/>
              </w:rPr>
              <w:t>6</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D5B3572">
            <w:pPr>
              <w:spacing w:before="0" w:after="0" w:line="320" w:lineRule="auto"/>
              <w:jc w:val="both"/>
              <w:rPr>
                <w:color w:val="auto"/>
              </w:rPr>
            </w:pPr>
            <w:r>
              <w:rPr>
                <w:rFonts w:ascii="宋体" w:hAnsi="宋体" w:eastAsia="宋体" w:cs="宋体"/>
                <w:b w:val="0"/>
                <w:bCs w:val="0"/>
                <w:color w:val="auto"/>
                <w:sz w:val="21"/>
                <w:szCs w:val="21"/>
              </w:rPr>
              <w:t>2020—2023</w:t>
            </w:r>
          </w:p>
        </w:tc>
      </w:tr>
      <w:tr w14:paraId="0471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EB472EB">
            <w:pPr>
              <w:spacing w:before="0" w:after="0" w:line="320" w:lineRule="auto"/>
              <w:jc w:val="both"/>
              <w:rPr>
                <w:color w:val="auto"/>
              </w:rPr>
            </w:pPr>
            <w:r>
              <w:rPr>
                <w:rFonts w:ascii="宋体" w:hAnsi="宋体" w:eastAsia="宋体" w:cs="宋体"/>
                <w:b w:val="0"/>
                <w:bCs w:val="0"/>
                <w:color w:val="auto"/>
                <w:sz w:val="21"/>
                <w:szCs w:val="21"/>
              </w:rPr>
              <w:t>化工原料</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9A02754">
            <w:pPr>
              <w:spacing w:before="0" w:after="0" w:line="320" w:lineRule="auto"/>
              <w:jc w:val="both"/>
              <w:rPr>
                <w:color w:val="auto"/>
              </w:rPr>
            </w:pPr>
            <w:r>
              <w:rPr>
                <w:rFonts w:ascii="宋体" w:hAnsi="宋体" w:eastAsia="宋体" w:cs="宋体"/>
                <w:b w:val="0"/>
                <w:bCs w:val="0"/>
                <w:color w:val="auto"/>
                <w:sz w:val="21"/>
                <w:szCs w:val="21"/>
              </w:rPr>
              <w:t>6</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EBD1180">
            <w:pPr>
              <w:spacing w:before="0" w:after="0" w:line="320" w:lineRule="auto"/>
              <w:jc w:val="both"/>
              <w:rPr>
                <w:color w:val="auto"/>
              </w:rPr>
            </w:pPr>
            <w:r>
              <w:rPr>
                <w:rFonts w:ascii="宋体" w:hAnsi="宋体" w:eastAsia="宋体" w:cs="宋体"/>
                <w:b w:val="0"/>
                <w:bCs w:val="0"/>
                <w:color w:val="auto"/>
                <w:sz w:val="21"/>
                <w:szCs w:val="21"/>
              </w:rPr>
              <w:t>2020—2023</w:t>
            </w:r>
          </w:p>
        </w:tc>
      </w:tr>
      <w:tr w14:paraId="46C3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8BB201D">
            <w:pPr>
              <w:spacing w:before="0" w:after="0" w:line="320" w:lineRule="auto"/>
              <w:jc w:val="both"/>
              <w:rPr>
                <w:color w:val="auto"/>
              </w:rPr>
            </w:pPr>
            <w:r>
              <w:rPr>
                <w:rFonts w:ascii="宋体" w:hAnsi="宋体" w:eastAsia="宋体" w:cs="宋体"/>
                <w:b w:val="0"/>
                <w:bCs w:val="0"/>
                <w:color w:val="auto"/>
                <w:sz w:val="21"/>
                <w:szCs w:val="21"/>
              </w:rPr>
              <w:t>半导体</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2A089F6">
            <w:pPr>
              <w:spacing w:before="0" w:after="0" w:line="320" w:lineRule="auto"/>
              <w:jc w:val="both"/>
              <w:rPr>
                <w:color w:val="auto"/>
              </w:rPr>
            </w:pPr>
            <w:r>
              <w:rPr>
                <w:rFonts w:ascii="宋体" w:hAnsi="宋体" w:eastAsia="宋体" w:cs="宋体"/>
                <w:b w:val="0"/>
                <w:bCs w:val="0"/>
                <w:color w:val="auto"/>
                <w:sz w:val="21"/>
                <w:szCs w:val="21"/>
              </w:rPr>
              <w:t>6</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BE2FDBE">
            <w:pPr>
              <w:spacing w:before="0" w:after="0" w:line="320" w:lineRule="auto"/>
              <w:jc w:val="both"/>
              <w:rPr>
                <w:color w:val="auto"/>
              </w:rPr>
            </w:pPr>
            <w:r>
              <w:rPr>
                <w:rFonts w:ascii="宋体" w:hAnsi="宋体" w:eastAsia="宋体" w:cs="宋体"/>
                <w:b w:val="0"/>
                <w:bCs w:val="0"/>
                <w:color w:val="auto"/>
                <w:sz w:val="21"/>
                <w:szCs w:val="21"/>
              </w:rPr>
              <w:t>2020—2023</w:t>
            </w:r>
          </w:p>
        </w:tc>
      </w:tr>
      <w:tr w14:paraId="4C2E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5DFCD63">
            <w:pPr>
              <w:spacing w:before="0" w:after="0" w:line="320" w:lineRule="auto"/>
              <w:jc w:val="both"/>
              <w:rPr>
                <w:color w:val="auto"/>
              </w:rPr>
            </w:pPr>
            <w:r>
              <w:rPr>
                <w:rFonts w:ascii="宋体" w:hAnsi="宋体" w:eastAsia="宋体" w:cs="宋体"/>
                <w:b w:val="0"/>
                <w:bCs w:val="0"/>
                <w:color w:val="auto"/>
                <w:sz w:val="21"/>
                <w:szCs w:val="21"/>
              </w:rPr>
              <w:t>专用机械</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B00E670">
            <w:pPr>
              <w:spacing w:before="0" w:after="0" w:line="320" w:lineRule="auto"/>
              <w:jc w:val="both"/>
              <w:rPr>
                <w:color w:val="auto"/>
              </w:rPr>
            </w:pPr>
            <w:r>
              <w:rPr>
                <w:rFonts w:ascii="宋体" w:hAnsi="宋体" w:eastAsia="宋体" w:cs="宋体"/>
                <w:b w:val="0"/>
                <w:bCs w:val="0"/>
                <w:color w:val="auto"/>
                <w:sz w:val="21"/>
                <w:szCs w:val="21"/>
              </w:rPr>
              <w:t>6</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01237E8">
            <w:pPr>
              <w:spacing w:before="0" w:after="0" w:line="320" w:lineRule="auto"/>
              <w:jc w:val="both"/>
              <w:rPr>
                <w:color w:val="auto"/>
              </w:rPr>
            </w:pPr>
            <w:r>
              <w:rPr>
                <w:rFonts w:ascii="宋体" w:hAnsi="宋体" w:eastAsia="宋体" w:cs="宋体"/>
                <w:b w:val="0"/>
                <w:bCs w:val="0"/>
                <w:color w:val="auto"/>
                <w:sz w:val="21"/>
                <w:szCs w:val="21"/>
              </w:rPr>
              <w:t>2020—2023</w:t>
            </w:r>
          </w:p>
        </w:tc>
      </w:tr>
      <w:tr w14:paraId="33C4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453EB34">
            <w:pPr>
              <w:spacing w:before="0" w:after="0" w:line="320" w:lineRule="auto"/>
              <w:jc w:val="both"/>
              <w:rPr>
                <w:color w:val="auto"/>
              </w:rPr>
            </w:pPr>
            <w:r>
              <w:rPr>
                <w:rFonts w:ascii="宋体" w:hAnsi="宋体" w:eastAsia="宋体" w:cs="宋体"/>
                <w:b w:val="0"/>
                <w:bCs w:val="0"/>
                <w:color w:val="auto"/>
                <w:sz w:val="21"/>
                <w:szCs w:val="21"/>
              </w:rPr>
              <w:t>食品</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2CABC4C">
            <w:pPr>
              <w:spacing w:before="0" w:after="0" w:line="320" w:lineRule="auto"/>
              <w:jc w:val="both"/>
              <w:rPr>
                <w:color w:val="auto"/>
              </w:rPr>
            </w:pPr>
            <w:r>
              <w:rPr>
                <w:rFonts w:ascii="宋体" w:hAnsi="宋体" w:eastAsia="宋体" w:cs="宋体"/>
                <w:b w:val="0"/>
                <w:bCs w:val="0"/>
                <w:color w:val="auto"/>
                <w:sz w:val="21"/>
                <w:szCs w:val="21"/>
              </w:rPr>
              <w:t>6</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E09D55F">
            <w:pPr>
              <w:spacing w:before="0" w:after="0" w:line="320" w:lineRule="auto"/>
              <w:jc w:val="both"/>
              <w:rPr>
                <w:color w:val="auto"/>
              </w:rPr>
            </w:pPr>
            <w:r>
              <w:rPr>
                <w:rFonts w:ascii="宋体" w:hAnsi="宋体" w:eastAsia="宋体" w:cs="宋体"/>
                <w:b w:val="0"/>
                <w:bCs w:val="0"/>
                <w:color w:val="auto"/>
                <w:sz w:val="21"/>
                <w:szCs w:val="21"/>
              </w:rPr>
              <w:t>2020—2023</w:t>
            </w:r>
          </w:p>
        </w:tc>
      </w:tr>
      <w:tr w14:paraId="06C6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14295B8">
            <w:pPr>
              <w:spacing w:before="0" w:after="0" w:line="320" w:lineRule="auto"/>
              <w:jc w:val="both"/>
              <w:rPr>
                <w:color w:val="auto"/>
              </w:rPr>
            </w:pPr>
            <w:r>
              <w:rPr>
                <w:rFonts w:ascii="宋体" w:hAnsi="宋体" w:eastAsia="宋体" w:cs="宋体"/>
                <w:b w:val="0"/>
                <w:bCs w:val="0"/>
                <w:color w:val="auto"/>
                <w:sz w:val="21"/>
                <w:szCs w:val="21"/>
              </w:rPr>
              <w:t>汽车整车</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97DBEF2">
            <w:pPr>
              <w:spacing w:before="0" w:after="0" w:line="320" w:lineRule="auto"/>
              <w:jc w:val="both"/>
              <w:rPr>
                <w:color w:val="auto"/>
              </w:rPr>
            </w:pPr>
            <w:r>
              <w:rPr>
                <w:rFonts w:ascii="宋体" w:hAnsi="宋体" w:eastAsia="宋体" w:cs="宋体"/>
                <w:b w:val="0"/>
                <w:bCs w:val="0"/>
                <w:color w:val="auto"/>
                <w:sz w:val="21"/>
                <w:szCs w:val="21"/>
              </w:rPr>
              <w:t>6</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22FA2B1">
            <w:pPr>
              <w:spacing w:before="0" w:after="0" w:line="320" w:lineRule="auto"/>
              <w:jc w:val="both"/>
              <w:rPr>
                <w:color w:val="auto"/>
              </w:rPr>
            </w:pPr>
            <w:r>
              <w:rPr>
                <w:rFonts w:ascii="宋体" w:hAnsi="宋体" w:eastAsia="宋体" w:cs="宋体"/>
                <w:b w:val="0"/>
                <w:bCs w:val="0"/>
                <w:color w:val="auto"/>
                <w:sz w:val="21"/>
                <w:szCs w:val="21"/>
              </w:rPr>
              <w:t>2020—2023</w:t>
            </w:r>
          </w:p>
        </w:tc>
      </w:tr>
      <w:tr w14:paraId="09A5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09FC798">
            <w:pPr>
              <w:spacing w:before="0" w:after="0" w:line="320" w:lineRule="auto"/>
              <w:jc w:val="both"/>
              <w:rPr>
                <w:color w:val="auto"/>
              </w:rPr>
            </w:pPr>
            <w:r>
              <w:rPr>
                <w:rFonts w:ascii="宋体" w:hAnsi="宋体" w:eastAsia="宋体" w:cs="宋体"/>
                <w:b w:val="0"/>
                <w:bCs w:val="0"/>
                <w:color w:val="auto"/>
                <w:sz w:val="21"/>
                <w:szCs w:val="21"/>
              </w:rPr>
              <w:t>白酒</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92B459A">
            <w:pPr>
              <w:spacing w:before="0" w:after="0" w:line="320" w:lineRule="auto"/>
              <w:jc w:val="both"/>
              <w:rPr>
                <w:color w:val="auto"/>
              </w:rPr>
            </w:pPr>
            <w:r>
              <w:rPr>
                <w:rFonts w:ascii="宋体" w:hAnsi="宋体" w:eastAsia="宋体" w:cs="宋体"/>
                <w:b w:val="0"/>
                <w:bCs w:val="0"/>
                <w:color w:val="auto"/>
                <w:sz w:val="21"/>
                <w:szCs w:val="21"/>
              </w:rPr>
              <w:t>6</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B88249D">
            <w:pPr>
              <w:spacing w:before="0" w:after="0" w:line="320" w:lineRule="auto"/>
              <w:jc w:val="both"/>
              <w:rPr>
                <w:color w:val="auto"/>
              </w:rPr>
            </w:pPr>
            <w:r>
              <w:rPr>
                <w:rFonts w:ascii="宋体" w:hAnsi="宋体" w:eastAsia="宋体" w:cs="宋体"/>
                <w:b w:val="0"/>
                <w:bCs w:val="0"/>
                <w:color w:val="auto"/>
                <w:sz w:val="21"/>
                <w:szCs w:val="21"/>
              </w:rPr>
              <w:t>2020—2023</w:t>
            </w:r>
          </w:p>
        </w:tc>
      </w:tr>
      <w:tr w14:paraId="2753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A9E5F72">
            <w:pPr>
              <w:spacing w:before="0" w:after="0" w:line="320" w:lineRule="auto"/>
              <w:jc w:val="both"/>
              <w:rPr>
                <w:color w:val="auto"/>
              </w:rPr>
            </w:pPr>
            <w:r>
              <w:rPr>
                <w:rFonts w:ascii="宋体" w:hAnsi="宋体" w:eastAsia="宋体" w:cs="宋体"/>
                <w:b w:val="0"/>
                <w:bCs w:val="0"/>
                <w:color w:val="auto"/>
                <w:sz w:val="21"/>
                <w:szCs w:val="21"/>
              </w:rPr>
              <w:t>纺织</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C4C4D25">
            <w:pPr>
              <w:spacing w:before="0" w:after="0" w:line="320" w:lineRule="auto"/>
              <w:jc w:val="both"/>
              <w:rPr>
                <w:color w:val="auto"/>
              </w:rPr>
            </w:pPr>
            <w:r>
              <w:rPr>
                <w:rFonts w:ascii="宋体" w:hAnsi="宋体" w:eastAsia="宋体" w:cs="宋体"/>
                <w:b w:val="0"/>
                <w:bCs w:val="0"/>
                <w:color w:val="auto"/>
                <w:sz w:val="21"/>
                <w:szCs w:val="21"/>
              </w:rPr>
              <w:t>6</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D4A8CD4">
            <w:pPr>
              <w:spacing w:before="0" w:after="0" w:line="320" w:lineRule="auto"/>
              <w:jc w:val="both"/>
              <w:rPr>
                <w:color w:val="auto"/>
              </w:rPr>
            </w:pPr>
            <w:r>
              <w:rPr>
                <w:rFonts w:ascii="宋体" w:hAnsi="宋体" w:eastAsia="宋体" w:cs="宋体"/>
                <w:b w:val="0"/>
                <w:bCs w:val="0"/>
                <w:color w:val="auto"/>
                <w:sz w:val="21"/>
                <w:szCs w:val="21"/>
              </w:rPr>
              <w:t>2020—2023</w:t>
            </w:r>
          </w:p>
        </w:tc>
      </w:tr>
      <w:tr w14:paraId="006B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871AA27">
            <w:pPr>
              <w:spacing w:before="0" w:after="0" w:line="320" w:lineRule="auto"/>
              <w:jc w:val="both"/>
              <w:rPr>
                <w:color w:val="auto"/>
              </w:rPr>
            </w:pPr>
            <w:r>
              <w:rPr>
                <w:rFonts w:ascii="宋体" w:hAnsi="宋体" w:eastAsia="宋体" w:cs="宋体"/>
                <w:b w:val="0"/>
                <w:bCs w:val="0"/>
                <w:color w:val="auto"/>
                <w:sz w:val="21"/>
                <w:szCs w:val="21"/>
              </w:rPr>
              <w:t>农业综合</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7BFEDC1">
            <w:pPr>
              <w:spacing w:before="0" w:after="0" w:line="320" w:lineRule="auto"/>
              <w:jc w:val="both"/>
              <w:rPr>
                <w:color w:val="auto"/>
              </w:rPr>
            </w:pPr>
            <w:r>
              <w:rPr>
                <w:rFonts w:ascii="宋体" w:hAnsi="宋体" w:eastAsia="宋体" w:cs="宋体"/>
                <w:b w:val="0"/>
                <w:bCs w:val="0"/>
                <w:color w:val="auto"/>
                <w:sz w:val="21"/>
                <w:szCs w:val="21"/>
              </w:rPr>
              <w:t>6</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DE020F3">
            <w:pPr>
              <w:spacing w:before="0" w:after="0" w:line="320" w:lineRule="auto"/>
              <w:jc w:val="both"/>
              <w:rPr>
                <w:color w:val="auto"/>
              </w:rPr>
            </w:pPr>
            <w:r>
              <w:rPr>
                <w:rFonts w:ascii="宋体" w:hAnsi="宋体" w:eastAsia="宋体" w:cs="宋体"/>
                <w:b w:val="0"/>
                <w:bCs w:val="0"/>
                <w:color w:val="auto"/>
                <w:sz w:val="21"/>
                <w:szCs w:val="21"/>
              </w:rPr>
              <w:t>2020—2023</w:t>
            </w:r>
          </w:p>
        </w:tc>
      </w:tr>
      <w:tr w14:paraId="6320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7641FEE">
            <w:pPr>
              <w:spacing w:before="0" w:after="0" w:line="320" w:lineRule="auto"/>
              <w:jc w:val="both"/>
              <w:rPr>
                <w:color w:val="auto"/>
              </w:rPr>
            </w:pPr>
            <w:r>
              <w:rPr>
                <w:rFonts w:ascii="宋体" w:hAnsi="宋体" w:eastAsia="宋体" w:cs="宋体"/>
                <w:b w:val="0"/>
                <w:bCs w:val="0"/>
                <w:color w:val="auto"/>
                <w:sz w:val="21"/>
                <w:szCs w:val="21"/>
              </w:rPr>
              <w:t>合计</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0D28D0D">
            <w:pPr>
              <w:spacing w:before="0" w:after="0" w:line="320" w:lineRule="auto"/>
              <w:jc w:val="both"/>
              <w:rPr>
                <w:color w:val="auto"/>
              </w:rPr>
            </w:pPr>
            <w:r>
              <w:rPr>
                <w:rFonts w:ascii="宋体" w:hAnsi="宋体" w:eastAsia="宋体" w:cs="宋体"/>
                <w:b w:val="0"/>
                <w:bCs w:val="0"/>
                <w:color w:val="auto"/>
                <w:sz w:val="21"/>
                <w:szCs w:val="21"/>
              </w:rPr>
              <w:t>60</w:t>
            </w:r>
          </w:p>
        </w:tc>
        <w:tc>
          <w:tcPr>
            <w:tcW w:w="2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B1120AA">
            <w:pPr>
              <w:spacing w:before="0" w:after="0" w:line="320" w:lineRule="auto"/>
              <w:jc w:val="both"/>
              <w:rPr>
                <w:color w:val="auto"/>
              </w:rPr>
            </w:pPr>
            <w:r>
              <w:rPr>
                <w:rFonts w:ascii="宋体" w:hAnsi="宋体" w:eastAsia="宋体" w:cs="宋体"/>
                <w:b w:val="0"/>
                <w:bCs w:val="0"/>
                <w:color w:val="auto"/>
                <w:sz w:val="21"/>
                <w:szCs w:val="21"/>
              </w:rPr>
              <w:t>—</w:t>
            </w:r>
          </w:p>
        </w:tc>
      </w:tr>
    </w:tbl>
    <w:p w14:paraId="3143CCAA">
      <w:pPr>
        <w:jc w:val="both"/>
        <w:rPr>
          <w:color w:val="auto"/>
        </w:rPr>
      </w:pPr>
    </w:p>
    <w:p w14:paraId="43A7C503">
      <w:pPr>
        <w:spacing w:before="0" w:after="0" w:line="360" w:lineRule="auto"/>
        <w:ind w:firstLine="480"/>
        <w:jc w:val="both"/>
        <w:rPr>
          <w:color w:val="auto"/>
        </w:rPr>
      </w:pPr>
      <w:r>
        <w:rPr>
          <w:rFonts w:ascii="宋体" w:hAnsi="宋体" w:eastAsia="宋体" w:cs="宋体"/>
          <w:color w:val="auto"/>
          <w:sz w:val="24"/>
          <w:szCs w:val="24"/>
        </w:rPr>
        <w:t>抓取的字段分两块。一块是现金流量表数据，包括经营活动现金流净额、投资活动现金流净额、筹资活动现金流净额、自由现金流、期末现金及现金等价物 5 个字段，对应企业三大资金活动。另一块是财务指标，包括流动比率、速动比率、现金比率、资产负债率、净资产收益率、总资产净利率、销售净利率、经营现金流量比率、EBITDA 及总资产周转率 10 个字段，覆盖偿债能力、盈利能力与运营效率三个维度。两类数据通过股票代码与报告年度做内连接，合并后原始记录 240 条。</w:t>
      </w:r>
    </w:p>
    <w:p w14:paraId="2C1E2F75">
      <w:pPr>
        <w:spacing w:before="120" w:after="80"/>
        <w:jc w:val="center"/>
        <w:rPr>
          <w:color w:val="auto"/>
        </w:rPr>
      </w:pPr>
      <w:r>
        <w:rPr>
          <w:color w:val="auto"/>
        </w:rPr>
        <w:drawing>
          <wp:inline distT="0" distB="0" distL="0" distR="0">
            <wp:extent cx="4381500" cy="2286000"/>
            <wp:effectExtent l="0" t="0" r="0" b="0"/>
            <wp:docPr id="1" name="数据建模" descr="数据建模" title="数据建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数据建模" descr="数据建模" title="数据建模"/>
                    <pic:cNvPicPr>
                      <a:picLocks noChangeAspect="1" noChangeArrowheads="1"/>
                    </pic:cNvPicPr>
                  </pic:nvPicPr>
                  <pic:blipFill>
                    <a:blip r:embed="rId6"/>
                    <a:srcRect/>
                    <a:stretch>
                      <a:fillRect/>
                    </a:stretch>
                  </pic:blipFill>
                  <pic:spPr>
                    <a:xfrm>
                      <a:off x="0" y="0"/>
                      <a:ext cx="4381500" cy="2286000"/>
                    </a:xfrm>
                    <a:prstGeom prst="rect">
                      <a:avLst/>
                    </a:prstGeom>
                  </pic:spPr>
                </pic:pic>
              </a:graphicData>
            </a:graphic>
          </wp:inline>
        </w:drawing>
      </w:r>
    </w:p>
    <w:p w14:paraId="7AD094F7">
      <w:pPr>
        <w:spacing w:before="60" w:after="120"/>
        <w:jc w:val="center"/>
        <w:rPr>
          <w:color w:val="auto"/>
        </w:rPr>
      </w:pPr>
      <w:r>
        <w:rPr>
          <w:rFonts w:ascii="宋体" w:hAnsi="宋体" w:eastAsia="宋体" w:cs="宋体"/>
          <w:b/>
          <w:bCs/>
          <w:color w:val="auto"/>
          <w:sz w:val="21"/>
          <w:szCs w:val="21"/>
        </w:rPr>
        <w:t>图2-1  数据建模关系图</w:t>
      </w:r>
    </w:p>
    <w:p w14:paraId="558C9F3A">
      <w:pPr>
        <w:spacing w:before="0" w:after="0" w:line="360" w:lineRule="auto"/>
        <w:ind w:firstLine="480"/>
        <w:jc w:val="both"/>
        <w:rPr>
          <w:color w:val="auto"/>
        </w:rPr>
      </w:pPr>
      <w:r>
        <w:rPr>
          <w:rFonts w:ascii="宋体" w:hAnsi="宋体" w:eastAsia="宋体" w:cs="宋体"/>
          <w:color w:val="auto"/>
          <w:sz w:val="24"/>
          <w:szCs w:val="24"/>
        </w:rPr>
        <w:t>核心数据获取代码如下。</w:t>
      </w:r>
    </w:p>
    <w:p w14:paraId="15576497">
      <w:pPr>
        <w:shd w:val="clear" w:color="auto" w:fill="F5F5F5"/>
        <w:spacing w:before="0" w:after="0" w:line="280" w:lineRule="auto"/>
        <w:ind w:left="480"/>
        <w:jc w:val="left"/>
        <w:rPr>
          <w:color w:val="auto"/>
        </w:rPr>
      </w:pPr>
      <w:r>
        <w:rPr>
          <w:rFonts w:ascii="Consolas" w:hAnsi="Consolas" w:eastAsia="Consolas" w:cs="Consolas"/>
          <w:color w:val="auto"/>
          <w:sz w:val="20"/>
          <w:szCs w:val="20"/>
        </w:rPr>
        <w:t># 获取沪深 A 股上市公司列表</w:t>
      </w:r>
    </w:p>
    <w:p w14:paraId="53C00DB1">
      <w:pPr>
        <w:shd w:val="clear" w:color="auto" w:fill="F5F5F5"/>
        <w:spacing w:before="0" w:after="0" w:line="280" w:lineRule="auto"/>
        <w:ind w:left="480"/>
        <w:jc w:val="left"/>
        <w:rPr>
          <w:color w:val="auto"/>
        </w:rPr>
      </w:pPr>
      <w:r>
        <w:rPr>
          <w:rFonts w:ascii="Consolas" w:hAnsi="Consolas" w:eastAsia="Consolas" w:cs="Consolas"/>
          <w:color w:val="auto"/>
          <w:sz w:val="20"/>
          <w:szCs w:val="20"/>
        </w:rPr>
        <w:t>stock_sse  = pro.stock_basic(exchange='SSE',  list_status='L', fields='ts_code,name,industry')</w:t>
      </w:r>
    </w:p>
    <w:p w14:paraId="069D6BDA">
      <w:pPr>
        <w:shd w:val="clear" w:color="auto" w:fill="F5F5F5"/>
        <w:spacing w:before="0" w:after="0" w:line="280" w:lineRule="auto"/>
        <w:ind w:left="480"/>
        <w:jc w:val="left"/>
        <w:rPr>
          <w:color w:val="auto"/>
        </w:rPr>
      </w:pPr>
      <w:r>
        <w:rPr>
          <w:rFonts w:ascii="Consolas" w:hAnsi="Consolas" w:eastAsia="Consolas" w:cs="Consolas"/>
          <w:color w:val="auto"/>
          <w:sz w:val="20"/>
          <w:szCs w:val="20"/>
        </w:rPr>
        <w:t>stock_szse = pro.stock_basic(exchange='SZSE', list_status='L', fields='ts_code,name,industry')</w:t>
      </w:r>
    </w:p>
    <w:p w14:paraId="28ECDBD8">
      <w:pPr>
        <w:shd w:val="clear" w:color="auto" w:fill="F5F5F5"/>
        <w:spacing w:before="0" w:after="0" w:line="280" w:lineRule="auto"/>
        <w:ind w:left="480"/>
        <w:jc w:val="left"/>
        <w:rPr>
          <w:color w:val="auto"/>
        </w:rPr>
      </w:pPr>
      <w:r>
        <w:rPr>
          <w:rFonts w:ascii="Consolas" w:hAnsi="Consolas" w:eastAsia="Consolas" w:cs="Consolas"/>
          <w:color w:val="auto"/>
          <w:sz w:val="20"/>
          <w:szCs w:val="20"/>
        </w:rPr>
        <w:t>stock_all  = pd.concat([stock_sse, stock_szse], ignore_index=True)</w:t>
      </w:r>
    </w:p>
    <w:p w14:paraId="2945193E">
      <w:pPr>
        <w:shd w:val="clear" w:color="auto" w:fill="F5F5F5"/>
        <w:spacing w:before="0" w:after="0" w:line="280" w:lineRule="auto"/>
        <w:ind w:left="480"/>
        <w:jc w:val="left"/>
        <w:rPr>
          <w:color w:val="auto"/>
        </w:rPr>
      </w:pPr>
      <w:r>
        <w:rPr>
          <w:rFonts w:ascii="Consolas" w:hAnsi="Consolas" w:eastAsia="Consolas" w:cs="Consolas"/>
          <w:color w:val="auto"/>
          <w:sz w:val="20"/>
          <w:szCs w:val="20"/>
        </w:rPr>
        <w:t xml:space="preserve"> </w:t>
      </w:r>
    </w:p>
    <w:p w14:paraId="2920CDD5">
      <w:pPr>
        <w:shd w:val="clear" w:color="auto" w:fill="F5F5F5"/>
        <w:spacing w:before="0" w:after="0" w:line="280" w:lineRule="auto"/>
        <w:ind w:left="480"/>
        <w:jc w:val="left"/>
        <w:rPr>
          <w:color w:val="auto"/>
        </w:rPr>
      </w:pPr>
      <w:r>
        <w:rPr>
          <w:rFonts w:ascii="Consolas" w:hAnsi="Consolas" w:eastAsia="Consolas" w:cs="Consolas"/>
          <w:color w:val="auto"/>
          <w:sz w:val="20"/>
          <w:szCs w:val="20"/>
        </w:rPr>
        <w:t># 每行业选取 6 家公司</w:t>
      </w:r>
    </w:p>
    <w:p w14:paraId="2FB46B5C">
      <w:pPr>
        <w:shd w:val="clear" w:color="auto" w:fill="F5F5F5"/>
        <w:spacing w:before="0" w:after="0" w:line="280" w:lineRule="auto"/>
        <w:ind w:left="480"/>
        <w:jc w:val="left"/>
        <w:rPr>
          <w:color w:val="auto"/>
        </w:rPr>
      </w:pPr>
      <w:r>
        <w:rPr>
          <w:rFonts w:ascii="Consolas" w:hAnsi="Consolas" w:eastAsia="Consolas" w:cs="Consolas"/>
          <w:color w:val="auto"/>
          <w:sz w:val="20"/>
          <w:szCs w:val="20"/>
        </w:rPr>
        <w:t>target_industries = ['银行', '化学制药', '化工原料', '半导体', '专用机械',</w:t>
      </w:r>
    </w:p>
    <w:p w14:paraId="640647D9">
      <w:pPr>
        <w:shd w:val="clear" w:color="auto" w:fill="F5F5F5"/>
        <w:spacing w:before="0" w:after="0" w:line="280" w:lineRule="auto"/>
        <w:ind w:left="480"/>
        <w:jc w:val="left"/>
        <w:rPr>
          <w:color w:val="auto"/>
        </w:rPr>
      </w:pPr>
      <w:r>
        <w:rPr>
          <w:rFonts w:ascii="Consolas" w:hAnsi="Consolas" w:eastAsia="Consolas" w:cs="Consolas"/>
          <w:color w:val="auto"/>
          <w:sz w:val="20"/>
          <w:szCs w:val="20"/>
        </w:rPr>
        <w:t xml:space="preserve">                     '食品', '汽车整车', '白酒', '纺织', '农业综合']</w:t>
      </w:r>
    </w:p>
    <w:p w14:paraId="4C2CEBBF">
      <w:pPr>
        <w:shd w:val="clear" w:color="auto" w:fill="F5F5F5"/>
        <w:spacing w:before="0" w:after="0" w:line="280" w:lineRule="auto"/>
        <w:ind w:left="480"/>
        <w:jc w:val="left"/>
        <w:rPr>
          <w:color w:val="auto"/>
        </w:rPr>
      </w:pPr>
      <w:r>
        <w:rPr>
          <w:rFonts w:ascii="Consolas" w:hAnsi="Consolas" w:eastAsia="Consolas" w:cs="Consolas"/>
          <w:color w:val="auto"/>
          <w:sz w:val="20"/>
          <w:szCs w:val="20"/>
        </w:rPr>
        <w:t>sample_basic = stock_all[stock_all['industry'].isin(target_industries)]</w:t>
      </w:r>
    </w:p>
    <w:p w14:paraId="5A4894EF">
      <w:pPr>
        <w:shd w:val="clear" w:color="auto" w:fill="F5F5F5"/>
        <w:spacing w:before="0" w:after="0" w:line="280" w:lineRule="auto"/>
        <w:ind w:left="480"/>
        <w:jc w:val="left"/>
        <w:rPr>
          <w:color w:val="auto"/>
        </w:rPr>
      </w:pPr>
      <w:r>
        <w:rPr>
          <w:rFonts w:ascii="Consolas" w:hAnsi="Consolas" w:eastAsia="Consolas" w:cs="Consolas"/>
          <w:color w:val="auto"/>
          <w:sz w:val="20"/>
          <w:szCs w:val="20"/>
        </w:rPr>
        <w:t>sample_basic = sample_basic.groupby('industry').head(6).reset_index(drop=True)</w:t>
      </w:r>
    </w:p>
    <w:p w14:paraId="2A4119E2">
      <w:pPr>
        <w:shd w:val="clear" w:color="auto" w:fill="F5F5F5"/>
        <w:spacing w:before="0" w:after="0" w:line="280" w:lineRule="auto"/>
        <w:ind w:left="480"/>
        <w:jc w:val="left"/>
        <w:rPr>
          <w:color w:val="auto"/>
        </w:rPr>
      </w:pPr>
      <w:r>
        <w:rPr>
          <w:rFonts w:ascii="Consolas" w:hAnsi="Consolas" w:eastAsia="Consolas" w:cs="Consolas"/>
          <w:color w:val="auto"/>
          <w:sz w:val="20"/>
          <w:szCs w:val="20"/>
        </w:rPr>
        <w:t xml:space="preserve"> </w:t>
      </w:r>
    </w:p>
    <w:p w14:paraId="09D335DB">
      <w:pPr>
        <w:shd w:val="clear" w:color="auto" w:fill="F5F5F5"/>
        <w:spacing w:before="0" w:after="0" w:line="280" w:lineRule="auto"/>
        <w:ind w:left="480"/>
        <w:jc w:val="left"/>
        <w:rPr>
          <w:color w:val="auto"/>
        </w:rPr>
      </w:pPr>
      <w:r>
        <w:rPr>
          <w:rFonts w:ascii="Consolas" w:hAnsi="Consolas" w:eastAsia="Consolas" w:cs="Consolas"/>
          <w:color w:val="auto"/>
          <w:sz w:val="20"/>
          <w:szCs w:val="20"/>
        </w:rPr>
        <w:t># 逐只获取现金流量数据</w:t>
      </w:r>
    </w:p>
    <w:p w14:paraId="770D2BF1">
      <w:pPr>
        <w:shd w:val="clear" w:color="auto" w:fill="F5F5F5"/>
        <w:spacing w:before="0" w:after="0" w:line="280" w:lineRule="auto"/>
        <w:ind w:left="480"/>
        <w:jc w:val="left"/>
        <w:rPr>
          <w:color w:val="auto"/>
        </w:rPr>
      </w:pPr>
      <w:r>
        <w:rPr>
          <w:rFonts w:ascii="Consolas" w:hAnsi="Consolas" w:eastAsia="Consolas" w:cs="Consolas"/>
          <w:color w:val="auto"/>
          <w:sz w:val="20"/>
          <w:szCs w:val="20"/>
        </w:rPr>
        <w:t>cashflow_list = []</w:t>
      </w:r>
    </w:p>
    <w:p w14:paraId="3D240967">
      <w:pPr>
        <w:shd w:val="clear" w:color="auto" w:fill="F5F5F5"/>
        <w:spacing w:before="0" w:after="0" w:line="280" w:lineRule="auto"/>
        <w:ind w:left="480"/>
        <w:jc w:val="left"/>
        <w:rPr>
          <w:color w:val="auto"/>
        </w:rPr>
      </w:pPr>
      <w:r>
        <w:rPr>
          <w:rFonts w:ascii="Consolas" w:hAnsi="Consolas" w:eastAsia="Consolas" w:cs="Consolas"/>
          <w:color w:val="auto"/>
          <w:sz w:val="20"/>
          <w:szCs w:val="20"/>
        </w:rPr>
        <w:t>for code in ts_codes:</w:t>
      </w:r>
    </w:p>
    <w:p w14:paraId="10D5651D">
      <w:pPr>
        <w:shd w:val="clear" w:color="auto" w:fill="F5F5F5"/>
        <w:spacing w:before="0" w:after="0" w:line="280" w:lineRule="auto"/>
        <w:ind w:left="480"/>
        <w:jc w:val="left"/>
        <w:rPr>
          <w:color w:val="auto"/>
        </w:rPr>
      </w:pPr>
      <w:r>
        <w:rPr>
          <w:rFonts w:ascii="Consolas" w:hAnsi="Consolas" w:eastAsia="Consolas" w:cs="Consolas"/>
          <w:color w:val="auto"/>
          <w:sz w:val="20"/>
          <w:szCs w:val="20"/>
        </w:rPr>
        <w:t xml:space="preserve">    df = pro.cashflow(ts_code=code, start_date='20200101', end_date='20241231',</w:t>
      </w:r>
    </w:p>
    <w:p w14:paraId="492E9D0A">
      <w:pPr>
        <w:shd w:val="clear" w:color="auto" w:fill="F5F5F5"/>
        <w:spacing w:before="0" w:after="0" w:line="280" w:lineRule="auto"/>
        <w:ind w:left="480"/>
        <w:jc w:val="left"/>
        <w:rPr>
          <w:color w:val="auto"/>
        </w:rPr>
      </w:pPr>
      <w:r>
        <w:rPr>
          <w:rFonts w:ascii="Consolas" w:hAnsi="Consolas" w:eastAsia="Consolas" w:cs="Consolas"/>
          <w:color w:val="auto"/>
          <w:sz w:val="20"/>
          <w:szCs w:val="20"/>
        </w:rPr>
        <w:t xml:space="preserve">                      report_type='1',</w:t>
      </w:r>
    </w:p>
    <w:p w14:paraId="7C11C37E">
      <w:pPr>
        <w:shd w:val="clear" w:color="auto" w:fill="F5F5F5"/>
        <w:spacing w:before="0" w:after="0" w:line="280" w:lineRule="auto"/>
        <w:ind w:left="480"/>
        <w:jc w:val="left"/>
        <w:rPr>
          <w:color w:val="auto"/>
        </w:rPr>
      </w:pPr>
      <w:r>
        <w:rPr>
          <w:rFonts w:ascii="Consolas" w:hAnsi="Consolas" w:eastAsia="Consolas" w:cs="Consolas"/>
          <w:color w:val="auto"/>
          <w:sz w:val="20"/>
          <w:szCs w:val="20"/>
        </w:rPr>
        <w:t xml:space="preserve">                      fields='ts_code,ann_date,end_date,n_cashflow_act,n_cashflow_inv,'</w:t>
      </w:r>
    </w:p>
    <w:p w14:paraId="5407A110">
      <w:pPr>
        <w:shd w:val="clear" w:color="auto" w:fill="F5F5F5"/>
        <w:spacing w:before="0" w:after="0" w:line="280" w:lineRule="auto"/>
        <w:ind w:left="480"/>
        <w:jc w:val="left"/>
        <w:rPr>
          <w:color w:val="auto"/>
        </w:rPr>
      </w:pPr>
      <w:r>
        <w:rPr>
          <w:rFonts w:ascii="Consolas" w:hAnsi="Consolas" w:eastAsia="Consolas" w:cs="Consolas"/>
          <w:color w:val="auto"/>
          <w:sz w:val="20"/>
          <w:szCs w:val="20"/>
        </w:rPr>
        <w:t xml:space="preserve">                             'n_cash_flows_fnc_act,free_cashflow,c_cash_equ_end_period')</w:t>
      </w:r>
    </w:p>
    <w:p w14:paraId="1A03787E">
      <w:pPr>
        <w:shd w:val="clear" w:color="auto" w:fill="F5F5F5"/>
        <w:spacing w:before="0" w:after="0" w:line="280" w:lineRule="auto"/>
        <w:ind w:left="480"/>
        <w:jc w:val="left"/>
        <w:rPr>
          <w:color w:val="auto"/>
        </w:rPr>
      </w:pPr>
      <w:r>
        <w:rPr>
          <w:rFonts w:ascii="Consolas" w:hAnsi="Consolas" w:eastAsia="Consolas" w:cs="Consolas"/>
          <w:color w:val="auto"/>
          <w:sz w:val="20"/>
          <w:szCs w:val="20"/>
        </w:rPr>
        <w:t xml:space="preserve">    cashflow_list.append(df)</w:t>
      </w:r>
    </w:p>
    <w:p w14:paraId="501FB676">
      <w:pPr>
        <w:shd w:val="clear" w:color="auto" w:fill="F5F5F5"/>
        <w:spacing w:before="0" w:after="0" w:line="280" w:lineRule="auto"/>
        <w:ind w:left="480"/>
        <w:jc w:val="left"/>
        <w:rPr>
          <w:color w:val="auto"/>
        </w:rPr>
      </w:pPr>
      <w:r>
        <w:rPr>
          <w:rFonts w:ascii="Consolas" w:hAnsi="Consolas" w:eastAsia="Consolas" w:cs="Consolas"/>
          <w:color w:val="auto"/>
          <w:sz w:val="20"/>
          <w:szCs w:val="20"/>
        </w:rPr>
        <w:t>cashflow_df = pd.concat(cashflow_list, ignore_index=True)</w:t>
      </w:r>
    </w:p>
    <w:p w14:paraId="7DEBF787">
      <w:pPr>
        <w:shd w:val="clear" w:color="auto" w:fill="F5F5F5"/>
        <w:spacing w:before="0" w:after="0" w:line="280" w:lineRule="auto"/>
        <w:ind w:left="480"/>
        <w:jc w:val="left"/>
        <w:rPr>
          <w:color w:val="auto"/>
        </w:rPr>
      </w:pPr>
      <w:r>
        <w:rPr>
          <w:rFonts w:ascii="Consolas" w:hAnsi="Consolas" w:eastAsia="Consolas" w:cs="Consolas"/>
          <w:color w:val="auto"/>
          <w:sz w:val="20"/>
          <w:szCs w:val="20"/>
        </w:rPr>
        <w:t>cashflow_df = cashflow_df[cashflow_df['end_date'].str.endswith('1231')]</w:t>
      </w:r>
    </w:p>
    <w:p w14:paraId="71CAC8ED">
      <w:pPr>
        <w:pStyle w:val="3"/>
        <w:spacing w:before="320" w:after="200"/>
        <w:jc w:val="left"/>
        <w:rPr>
          <w:color w:val="auto"/>
        </w:rPr>
      </w:pPr>
      <w:bookmarkStart w:id="6" w:name="_Toc1882"/>
      <w:r>
        <w:rPr>
          <w:rFonts w:ascii="黑体" w:hAnsi="黑体" w:eastAsia="黑体" w:cs="黑体"/>
          <w:b/>
          <w:bCs/>
          <w:color w:val="auto"/>
          <w:sz w:val="28"/>
          <w:szCs w:val="28"/>
        </w:rPr>
        <w:t>2.2  数据处理</w:t>
      </w:r>
      <w:bookmarkEnd w:id="6"/>
    </w:p>
    <w:p w14:paraId="3DDA6DD5">
      <w:pPr>
        <w:spacing w:before="0" w:after="0" w:line="360" w:lineRule="auto"/>
        <w:ind w:firstLine="480"/>
        <w:jc w:val="both"/>
        <w:rPr>
          <w:color w:val="auto"/>
        </w:rPr>
      </w:pPr>
      <w:r>
        <w:rPr>
          <w:rFonts w:ascii="宋体" w:hAnsi="宋体" w:eastAsia="宋体" w:cs="宋体"/>
          <w:color w:val="auto"/>
          <w:sz w:val="24"/>
          <w:szCs w:val="24"/>
        </w:rPr>
        <w:t>原始数据集在合并后存在三类问题：重复记录、关键字段缺失、财务比率中出现极端值。这些问题不处理，后续描述性统计会被少数样本拉偏。这里按五步顺序进行清洗，主要逻辑如下。</w:t>
      </w:r>
    </w:p>
    <w:p w14:paraId="276FC425">
      <w:pPr>
        <w:spacing w:before="0" w:after="0" w:line="360" w:lineRule="auto"/>
        <w:ind w:firstLine="480"/>
        <w:jc w:val="both"/>
        <w:rPr>
          <w:color w:val="auto"/>
        </w:rPr>
      </w:pPr>
      <w:r>
        <w:rPr>
          <w:rFonts w:ascii="宋体" w:hAnsi="宋体" w:eastAsia="宋体" w:cs="宋体"/>
          <w:color w:val="auto"/>
          <w:sz w:val="24"/>
          <w:szCs w:val="24"/>
        </w:rPr>
        <w:t>第一步是去重，以股票代码加报告年度作为联合主键，同一公司同一年只保留一条记录。第二步是缺失值处理，经营活动现金流净额、流动比率、资产负债率、净资产收益率这几个指标一旦缺失就整行删掉，其余数值型字段的少量空值用该字段全样本中位数填补。第三步是类型统一，所有数值转为 float64，报告年度与公告日期转为 datetime64，避免后续遇到类型不匹配的问题。</w:t>
      </w:r>
    </w:p>
    <w:p w14:paraId="719944A6">
      <w:pPr>
        <w:spacing w:before="0" w:after="0" w:line="360" w:lineRule="auto"/>
        <w:ind w:firstLine="480"/>
        <w:jc w:val="both"/>
        <w:rPr>
          <w:color w:val="auto"/>
        </w:rPr>
      </w:pPr>
      <w:r>
        <w:rPr>
          <w:rFonts w:ascii="宋体" w:hAnsi="宋体" w:eastAsia="宋体" w:cs="宋体"/>
          <w:color w:val="auto"/>
          <w:sz w:val="24"/>
          <w:szCs w:val="24"/>
        </w:rPr>
        <w:t>第四步是异常值剔除，针对流动比率、速动比率、资产负债率、净资产收益率、总资产净利率 5 个指标，以 3 倍标准差（3σ）为边界，保留满足公式 2-1 的记录。这一步考虑到金融面板数据中偶尔会出现财务重组、一次性损益这类极端值，不处理会主导行业均值。</w:t>
      </w:r>
    </w:p>
    <w:p w14:paraId="64A3EB1C">
      <w:pPr>
        <w:spacing w:before="60" w:after="60"/>
        <w:jc w:val="center"/>
        <w:rPr>
          <w:color w:val="auto"/>
        </w:rPr>
      </w:pPr>
      <w:r>
        <w:rPr>
          <w:rFonts w:ascii="Cambria Math" w:hAnsi="Cambria Math" w:eastAsia="Cambria Math" w:cs="Cambria Math"/>
          <w:i/>
          <w:iCs/>
          <w:color w:val="auto"/>
          <w:sz w:val="24"/>
          <w:szCs w:val="24"/>
        </w:rPr>
        <w:t>μ − 3σ ≤ xᵢ ≤ μ + 3σ</w:t>
      </w:r>
    </w:p>
    <w:p w14:paraId="453B6FEF">
      <w:pPr>
        <w:spacing w:before="60" w:after="120"/>
        <w:jc w:val="center"/>
        <w:rPr>
          <w:color w:val="auto"/>
        </w:rPr>
      </w:pPr>
      <w:r>
        <w:rPr>
          <w:rFonts w:ascii="宋体" w:hAnsi="宋体" w:eastAsia="宋体" w:cs="宋体"/>
          <w:b/>
          <w:bCs/>
          <w:color w:val="auto"/>
          <w:sz w:val="21"/>
          <w:szCs w:val="21"/>
        </w:rPr>
        <w:t>公式2-1  3 倍标准差异常值筛选条件</w:t>
      </w:r>
    </w:p>
    <w:p w14:paraId="575F1D6C">
      <w:pPr>
        <w:spacing w:before="0" w:after="0" w:line="360" w:lineRule="auto"/>
        <w:ind w:firstLine="480"/>
        <w:jc w:val="both"/>
        <w:rPr>
          <w:color w:val="auto"/>
        </w:rPr>
      </w:pPr>
      <w:r>
        <w:rPr>
          <w:rFonts w:ascii="宋体" w:hAnsi="宋体" w:eastAsia="宋体" w:cs="宋体"/>
          <w:color w:val="auto"/>
          <w:sz w:val="24"/>
          <w:szCs w:val="24"/>
        </w:rPr>
        <w:t>第五步是单位换算与字段重命名，现金流量相关字段和 EBITDA 由元换算到亿元，免得后续画图时坐标轴出现一串零；同时把英文字段名统一换成中文，方便 FineBI 中拖拽。最后另加一项限定：银行行业由于有息资产、存贷等科目与制造业差异过大，资产负债率、现金比率这些指标不能同口径对比，在看板计算中被整体过滤；几家连续 4 年中报表缺失较多的公司也被剔除。最终落到 FineBI 看板上的有效样本是9 个行业 36 家公司 2020—2023 年的 134 条年度数据，字段总数 19 个。主要变量的含义与来源见表 2-2。</w:t>
      </w:r>
    </w:p>
    <w:p w14:paraId="71B76B50">
      <w:pPr>
        <w:spacing w:before="60" w:after="120"/>
        <w:jc w:val="center"/>
        <w:rPr>
          <w:color w:val="auto"/>
        </w:rPr>
      </w:pPr>
      <w:r>
        <w:rPr>
          <w:rFonts w:ascii="宋体" w:hAnsi="宋体" w:eastAsia="宋体" w:cs="宋体"/>
          <w:b/>
          <w:bCs/>
          <w:color w:val="auto"/>
          <w:sz w:val="21"/>
          <w:szCs w:val="21"/>
        </w:rPr>
        <w:t>表2-2  主要变量说明</w:t>
      </w:r>
    </w:p>
    <w:tbl>
      <w:tblPr>
        <w:tblStyle w:val="14"/>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1600"/>
        <w:gridCol w:w="1200"/>
        <w:gridCol w:w="3200"/>
      </w:tblGrid>
      <w:tr w14:paraId="1202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4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00" w:type="dxa"/>
              <w:bottom w:w="80" w:type="dxa"/>
              <w:right w:w="100" w:type="dxa"/>
            </w:tcMar>
          </w:tcPr>
          <w:p w14:paraId="1C511A46">
            <w:pPr>
              <w:spacing w:before="0" w:after="0" w:line="320" w:lineRule="auto"/>
              <w:jc w:val="center"/>
              <w:rPr>
                <w:color w:val="auto"/>
              </w:rPr>
            </w:pPr>
            <w:r>
              <w:rPr>
                <w:rFonts w:ascii="宋体" w:hAnsi="宋体" w:eastAsia="宋体" w:cs="宋体"/>
                <w:b/>
                <w:bCs/>
                <w:color w:val="auto"/>
                <w:sz w:val="21"/>
                <w:szCs w:val="21"/>
              </w:rPr>
              <w:t>变量名称</w:t>
            </w:r>
          </w:p>
        </w:tc>
        <w:tc>
          <w:tcPr>
            <w:tcW w:w="16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00" w:type="dxa"/>
              <w:bottom w:w="80" w:type="dxa"/>
              <w:right w:w="100" w:type="dxa"/>
            </w:tcMar>
          </w:tcPr>
          <w:p w14:paraId="59ECD109">
            <w:pPr>
              <w:spacing w:before="0" w:after="0" w:line="320" w:lineRule="auto"/>
              <w:jc w:val="center"/>
              <w:rPr>
                <w:color w:val="auto"/>
              </w:rPr>
            </w:pPr>
            <w:r>
              <w:rPr>
                <w:rFonts w:ascii="宋体" w:hAnsi="宋体" w:eastAsia="宋体" w:cs="宋体"/>
                <w:b/>
                <w:bCs/>
                <w:color w:val="auto"/>
                <w:sz w:val="21"/>
                <w:szCs w:val="21"/>
              </w:rPr>
              <w:t>字段来源</w:t>
            </w:r>
          </w:p>
        </w:tc>
        <w:tc>
          <w:tcPr>
            <w:tcW w:w="12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00" w:type="dxa"/>
              <w:bottom w:w="80" w:type="dxa"/>
              <w:right w:w="100" w:type="dxa"/>
            </w:tcMar>
          </w:tcPr>
          <w:p w14:paraId="12A7913D">
            <w:pPr>
              <w:spacing w:before="0" w:after="0" w:line="320" w:lineRule="auto"/>
              <w:jc w:val="center"/>
              <w:rPr>
                <w:color w:val="auto"/>
              </w:rPr>
            </w:pPr>
            <w:r>
              <w:rPr>
                <w:rFonts w:ascii="宋体" w:hAnsi="宋体" w:eastAsia="宋体" w:cs="宋体"/>
                <w:b/>
                <w:bCs/>
                <w:color w:val="auto"/>
                <w:sz w:val="21"/>
                <w:szCs w:val="21"/>
              </w:rPr>
              <w:t>单位</w:t>
            </w:r>
          </w:p>
        </w:tc>
        <w:tc>
          <w:tcPr>
            <w:tcW w:w="32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00" w:type="dxa"/>
              <w:bottom w:w="80" w:type="dxa"/>
              <w:right w:w="100" w:type="dxa"/>
            </w:tcMar>
          </w:tcPr>
          <w:p w14:paraId="2CFDD939">
            <w:pPr>
              <w:spacing w:before="0" w:after="0" w:line="320" w:lineRule="auto"/>
              <w:jc w:val="center"/>
              <w:rPr>
                <w:color w:val="auto"/>
              </w:rPr>
            </w:pPr>
            <w:r>
              <w:rPr>
                <w:rFonts w:ascii="宋体" w:hAnsi="宋体" w:eastAsia="宋体" w:cs="宋体"/>
                <w:b/>
                <w:bCs/>
                <w:color w:val="auto"/>
                <w:sz w:val="21"/>
                <w:szCs w:val="21"/>
              </w:rPr>
              <w:t>含义</w:t>
            </w:r>
          </w:p>
        </w:tc>
      </w:tr>
      <w:tr w14:paraId="0951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35FCB8D">
            <w:pPr>
              <w:spacing w:before="0" w:after="0" w:line="320" w:lineRule="auto"/>
              <w:jc w:val="center"/>
              <w:rPr>
                <w:color w:val="auto"/>
              </w:rPr>
            </w:pPr>
            <w:r>
              <w:rPr>
                <w:rFonts w:ascii="宋体" w:hAnsi="宋体" w:eastAsia="宋体" w:cs="宋体"/>
                <w:b w:val="0"/>
                <w:bCs w:val="0"/>
                <w:color w:val="auto"/>
                <w:sz w:val="21"/>
                <w:szCs w:val="21"/>
              </w:rPr>
              <w:t>经营活动现金流净额</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0BDD386">
            <w:pPr>
              <w:spacing w:before="0" w:after="0" w:line="320" w:lineRule="auto"/>
              <w:jc w:val="center"/>
              <w:rPr>
                <w:color w:val="auto"/>
              </w:rPr>
            </w:pPr>
            <w:r>
              <w:rPr>
                <w:rFonts w:ascii="宋体" w:hAnsi="宋体" w:eastAsia="宋体" w:cs="宋体"/>
                <w:b w:val="0"/>
                <w:bCs w:val="0"/>
                <w:color w:val="auto"/>
                <w:sz w:val="21"/>
                <w:szCs w:val="21"/>
              </w:rPr>
              <w:t>现金流量表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A60B573">
            <w:pPr>
              <w:spacing w:before="0" w:after="0" w:line="320" w:lineRule="auto"/>
              <w:jc w:val="center"/>
              <w:rPr>
                <w:color w:val="auto"/>
              </w:rPr>
            </w:pPr>
            <w:r>
              <w:rPr>
                <w:rFonts w:ascii="宋体" w:hAnsi="宋体" w:eastAsia="宋体" w:cs="宋体"/>
                <w:b w:val="0"/>
                <w:bCs w:val="0"/>
                <w:color w:val="auto"/>
                <w:sz w:val="21"/>
                <w:szCs w:val="21"/>
              </w:rPr>
              <w:t>亿元</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CF4DA00">
            <w:pPr>
              <w:spacing w:before="0" w:after="0" w:line="320" w:lineRule="auto"/>
              <w:jc w:val="center"/>
              <w:rPr>
                <w:color w:val="auto"/>
              </w:rPr>
            </w:pPr>
            <w:r>
              <w:rPr>
                <w:rFonts w:ascii="宋体" w:hAnsi="宋体" w:eastAsia="宋体" w:cs="宋体"/>
                <w:b w:val="0"/>
                <w:bCs w:val="0"/>
                <w:color w:val="auto"/>
                <w:sz w:val="21"/>
                <w:szCs w:val="21"/>
              </w:rPr>
              <w:t>经营活动产生的净现金流量</w:t>
            </w:r>
          </w:p>
        </w:tc>
      </w:tr>
      <w:tr w14:paraId="22A9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E7EDA66">
            <w:pPr>
              <w:spacing w:before="0" w:after="0" w:line="320" w:lineRule="auto"/>
              <w:jc w:val="center"/>
              <w:rPr>
                <w:color w:val="auto"/>
              </w:rPr>
            </w:pPr>
            <w:r>
              <w:rPr>
                <w:rFonts w:ascii="宋体" w:hAnsi="宋体" w:eastAsia="宋体" w:cs="宋体"/>
                <w:b w:val="0"/>
                <w:bCs w:val="0"/>
                <w:color w:val="auto"/>
                <w:sz w:val="21"/>
                <w:szCs w:val="21"/>
              </w:rPr>
              <w:t>投资活动现金流净额</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D997BDD">
            <w:pPr>
              <w:spacing w:before="0" w:after="0" w:line="320" w:lineRule="auto"/>
              <w:jc w:val="center"/>
              <w:rPr>
                <w:color w:val="auto"/>
              </w:rPr>
            </w:pPr>
            <w:r>
              <w:rPr>
                <w:rFonts w:ascii="宋体" w:hAnsi="宋体" w:eastAsia="宋体" w:cs="宋体"/>
                <w:b w:val="0"/>
                <w:bCs w:val="0"/>
                <w:color w:val="auto"/>
                <w:sz w:val="21"/>
                <w:szCs w:val="21"/>
              </w:rPr>
              <w:t>现金流量表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73CF318">
            <w:pPr>
              <w:spacing w:before="0" w:after="0" w:line="320" w:lineRule="auto"/>
              <w:jc w:val="center"/>
              <w:rPr>
                <w:color w:val="auto"/>
              </w:rPr>
            </w:pPr>
            <w:r>
              <w:rPr>
                <w:rFonts w:ascii="宋体" w:hAnsi="宋体" w:eastAsia="宋体" w:cs="宋体"/>
                <w:b w:val="0"/>
                <w:bCs w:val="0"/>
                <w:color w:val="auto"/>
                <w:sz w:val="21"/>
                <w:szCs w:val="21"/>
              </w:rPr>
              <w:t>亿元</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3B3C0E1">
            <w:pPr>
              <w:spacing w:before="0" w:after="0" w:line="320" w:lineRule="auto"/>
              <w:jc w:val="center"/>
              <w:rPr>
                <w:color w:val="auto"/>
              </w:rPr>
            </w:pPr>
            <w:r>
              <w:rPr>
                <w:rFonts w:ascii="宋体" w:hAnsi="宋体" w:eastAsia="宋体" w:cs="宋体"/>
                <w:b w:val="0"/>
                <w:bCs w:val="0"/>
                <w:color w:val="auto"/>
                <w:sz w:val="21"/>
                <w:szCs w:val="21"/>
              </w:rPr>
              <w:t>投资活动净现金变动</w:t>
            </w:r>
          </w:p>
        </w:tc>
      </w:tr>
      <w:tr w14:paraId="119A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0E9A508">
            <w:pPr>
              <w:spacing w:before="0" w:after="0" w:line="320" w:lineRule="auto"/>
              <w:jc w:val="center"/>
              <w:rPr>
                <w:color w:val="auto"/>
              </w:rPr>
            </w:pPr>
            <w:r>
              <w:rPr>
                <w:rFonts w:ascii="宋体" w:hAnsi="宋体" w:eastAsia="宋体" w:cs="宋体"/>
                <w:b w:val="0"/>
                <w:bCs w:val="0"/>
                <w:color w:val="auto"/>
                <w:sz w:val="21"/>
                <w:szCs w:val="21"/>
              </w:rPr>
              <w:t>筹资活动现金流净额</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1C8ADDD">
            <w:pPr>
              <w:spacing w:before="0" w:after="0" w:line="320" w:lineRule="auto"/>
              <w:jc w:val="center"/>
              <w:rPr>
                <w:color w:val="auto"/>
              </w:rPr>
            </w:pPr>
            <w:r>
              <w:rPr>
                <w:rFonts w:ascii="宋体" w:hAnsi="宋体" w:eastAsia="宋体" w:cs="宋体"/>
                <w:b w:val="0"/>
                <w:bCs w:val="0"/>
                <w:color w:val="auto"/>
                <w:sz w:val="21"/>
                <w:szCs w:val="21"/>
              </w:rPr>
              <w:t>现金流量表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24BD619">
            <w:pPr>
              <w:spacing w:before="0" w:after="0" w:line="320" w:lineRule="auto"/>
              <w:jc w:val="center"/>
              <w:rPr>
                <w:color w:val="auto"/>
              </w:rPr>
            </w:pPr>
            <w:r>
              <w:rPr>
                <w:rFonts w:ascii="宋体" w:hAnsi="宋体" w:eastAsia="宋体" w:cs="宋体"/>
                <w:b w:val="0"/>
                <w:bCs w:val="0"/>
                <w:color w:val="auto"/>
                <w:sz w:val="21"/>
                <w:szCs w:val="21"/>
              </w:rPr>
              <w:t>亿元</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6F8C761">
            <w:pPr>
              <w:spacing w:before="0" w:after="0" w:line="320" w:lineRule="auto"/>
              <w:jc w:val="center"/>
              <w:rPr>
                <w:color w:val="auto"/>
              </w:rPr>
            </w:pPr>
            <w:r>
              <w:rPr>
                <w:rFonts w:ascii="宋体" w:hAnsi="宋体" w:eastAsia="宋体" w:cs="宋体"/>
                <w:b w:val="0"/>
                <w:bCs w:val="0"/>
                <w:color w:val="auto"/>
                <w:sz w:val="21"/>
                <w:szCs w:val="21"/>
              </w:rPr>
              <w:t>融资活动净现金变动</w:t>
            </w:r>
          </w:p>
        </w:tc>
      </w:tr>
      <w:tr w14:paraId="528D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8D01367">
            <w:pPr>
              <w:spacing w:before="0" w:after="0" w:line="320" w:lineRule="auto"/>
              <w:jc w:val="center"/>
              <w:rPr>
                <w:color w:val="auto"/>
              </w:rPr>
            </w:pPr>
            <w:r>
              <w:rPr>
                <w:rFonts w:ascii="宋体" w:hAnsi="宋体" w:eastAsia="宋体" w:cs="宋体"/>
                <w:b w:val="0"/>
                <w:bCs w:val="0"/>
                <w:color w:val="auto"/>
                <w:sz w:val="21"/>
                <w:szCs w:val="21"/>
              </w:rPr>
              <w:t>自由现金流</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DCF115E">
            <w:pPr>
              <w:spacing w:before="0" w:after="0" w:line="320" w:lineRule="auto"/>
              <w:jc w:val="center"/>
              <w:rPr>
                <w:color w:val="auto"/>
              </w:rPr>
            </w:pPr>
            <w:r>
              <w:rPr>
                <w:rFonts w:ascii="宋体" w:hAnsi="宋体" w:eastAsia="宋体" w:cs="宋体"/>
                <w:b w:val="0"/>
                <w:bCs w:val="0"/>
                <w:color w:val="auto"/>
                <w:sz w:val="21"/>
                <w:szCs w:val="21"/>
              </w:rPr>
              <w:t>现金流量表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BAE73F5">
            <w:pPr>
              <w:spacing w:before="0" w:after="0" w:line="320" w:lineRule="auto"/>
              <w:jc w:val="center"/>
              <w:rPr>
                <w:color w:val="auto"/>
              </w:rPr>
            </w:pPr>
            <w:r>
              <w:rPr>
                <w:rFonts w:ascii="宋体" w:hAnsi="宋体" w:eastAsia="宋体" w:cs="宋体"/>
                <w:b w:val="0"/>
                <w:bCs w:val="0"/>
                <w:color w:val="auto"/>
                <w:sz w:val="21"/>
                <w:szCs w:val="21"/>
              </w:rPr>
              <w:t>亿元</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B68B555">
            <w:pPr>
              <w:spacing w:before="0" w:after="0" w:line="320" w:lineRule="auto"/>
              <w:jc w:val="center"/>
              <w:rPr>
                <w:color w:val="auto"/>
              </w:rPr>
            </w:pPr>
            <w:r>
              <w:rPr>
                <w:rFonts w:ascii="宋体" w:hAnsi="宋体" w:eastAsia="宋体" w:cs="宋体"/>
                <w:b w:val="0"/>
                <w:bCs w:val="0"/>
                <w:color w:val="auto"/>
                <w:sz w:val="21"/>
                <w:szCs w:val="21"/>
              </w:rPr>
              <w:t>可自由支配的现金流量</w:t>
            </w:r>
          </w:p>
        </w:tc>
      </w:tr>
      <w:tr w14:paraId="7162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4D94532">
            <w:pPr>
              <w:spacing w:before="0" w:after="0" w:line="320" w:lineRule="auto"/>
              <w:jc w:val="center"/>
              <w:rPr>
                <w:color w:val="auto"/>
              </w:rPr>
            </w:pPr>
            <w:r>
              <w:rPr>
                <w:rFonts w:ascii="宋体" w:hAnsi="宋体" w:eastAsia="宋体" w:cs="宋体"/>
                <w:b w:val="0"/>
                <w:bCs w:val="0"/>
                <w:color w:val="auto"/>
                <w:sz w:val="21"/>
                <w:szCs w:val="21"/>
              </w:rPr>
              <w:t>期末现金及现金等价物</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0AA2CF1">
            <w:pPr>
              <w:spacing w:before="0" w:after="0" w:line="320" w:lineRule="auto"/>
              <w:jc w:val="center"/>
              <w:rPr>
                <w:color w:val="auto"/>
              </w:rPr>
            </w:pPr>
            <w:r>
              <w:rPr>
                <w:rFonts w:ascii="宋体" w:hAnsi="宋体" w:eastAsia="宋体" w:cs="宋体"/>
                <w:b w:val="0"/>
                <w:bCs w:val="0"/>
                <w:color w:val="auto"/>
                <w:sz w:val="21"/>
                <w:szCs w:val="21"/>
              </w:rPr>
              <w:t>现金流量表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C6BF85B">
            <w:pPr>
              <w:spacing w:before="0" w:after="0" w:line="320" w:lineRule="auto"/>
              <w:jc w:val="center"/>
              <w:rPr>
                <w:color w:val="auto"/>
              </w:rPr>
            </w:pPr>
            <w:r>
              <w:rPr>
                <w:rFonts w:ascii="宋体" w:hAnsi="宋体" w:eastAsia="宋体" w:cs="宋体"/>
                <w:b w:val="0"/>
                <w:bCs w:val="0"/>
                <w:color w:val="auto"/>
                <w:sz w:val="21"/>
                <w:szCs w:val="21"/>
              </w:rPr>
              <w:t>亿元</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50EC8AC">
            <w:pPr>
              <w:spacing w:before="0" w:after="0" w:line="320" w:lineRule="auto"/>
              <w:jc w:val="center"/>
              <w:rPr>
                <w:color w:val="auto"/>
              </w:rPr>
            </w:pPr>
            <w:r>
              <w:rPr>
                <w:rFonts w:ascii="宋体" w:hAnsi="宋体" w:eastAsia="宋体" w:cs="宋体"/>
                <w:b w:val="0"/>
                <w:bCs w:val="0"/>
                <w:color w:val="auto"/>
                <w:sz w:val="21"/>
                <w:szCs w:val="21"/>
              </w:rPr>
              <w:t>报告期末现金储备规模</w:t>
            </w:r>
          </w:p>
        </w:tc>
      </w:tr>
      <w:tr w14:paraId="4B51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1088C0D">
            <w:pPr>
              <w:spacing w:before="0" w:after="0" w:line="320" w:lineRule="auto"/>
              <w:jc w:val="center"/>
              <w:rPr>
                <w:color w:val="auto"/>
              </w:rPr>
            </w:pPr>
            <w:r>
              <w:rPr>
                <w:rFonts w:ascii="宋体" w:hAnsi="宋体" w:eastAsia="宋体" w:cs="宋体"/>
                <w:b w:val="0"/>
                <w:bCs w:val="0"/>
                <w:color w:val="auto"/>
                <w:sz w:val="21"/>
                <w:szCs w:val="21"/>
              </w:rPr>
              <w:t>流动比率</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F8A1883">
            <w:pPr>
              <w:spacing w:before="0" w:after="0" w:line="320" w:lineRule="auto"/>
              <w:jc w:val="center"/>
              <w:rPr>
                <w:color w:val="auto"/>
              </w:rPr>
            </w:pPr>
            <w:r>
              <w:rPr>
                <w:rFonts w:ascii="宋体" w:hAnsi="宋体" w:eastAsia="宋体" w:cs="宋体"/>
                <w:b w:val="0"/>
                <w:bCs w:val="0"/>
                <w:color w:val="auto"/>
                <w:sz w:val="21"/>
                <w:szCs w:val="21"/>
              </w:rPr>
              <w:t>财务指标</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AAE5F67">
            <w:pPr>
              <w:spacing w:before="0" w:after="0" w:line="320" w:lineRule="auto"/>
              <w:jc w:val="center"/>
              <w:rPr>
                <w:color w:val="auto"/>
              </w:rPr>
            </w:pPr>
            <w:r>
              <w:rPr>
                <w:rFonts w:ascii="宋体" w:hAnsi="宋体" w:eastAsia="宋体" w:cs="宋体"/>
                <w:b w:val="0"/>
                <w:bCs w:val="0"/>
                <w:color w:val="auto"/>
                <w:sz w:val="21"/>
                <w:szCs w:val="21"/>
              </w:rPr>
              <w:t>—</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61C97D0">
            <w:pPr>
              <w:spacing w:before="0" w:after="0" w:line="320" w:lineRule="auto"/>
              <w:jc w:val="center"/>
              <w:rPr>
                <w:color w:val="auto"/>
              </w:rPr>
            </w:pPr>
            <w:r>
              <w:rPr>
                <w:rFonts w:ascii="宋体" w:hAnsi="宋体" w:eastAsia="宋体" w:cs="宋体"/>
                <w:b w:val="0"/>
                <w:bCs w:val="0"/>
                <w:color w:val="auto"/>
                <w:sz w:val="21"/>
                <w:szCs w:val="21"/>
              </w:rPr>
              <w:t>短期偿债能力核心指标</w:t>
            </w:r>
          </w:p>
        </w:tc>
      </w:tr>
      <w:tr w14:paraId="5727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17FB4A7">
            <w:pPr>
              <w:spacing w:before="0" w:after="0" w:line="320" w:lineRule="auto"/>
              <w:jc w:val="center"/>
              <w:rPr>
                <w:color w:val="auto"/>
              </w:rPr>
            </w:pPr>
            <w:r>
              <w:rPr>
                <w:rFonts w:ascii="宋体" w:hAnsi="宋体" w:eastAsia="宋体" w:cs="宋体"/>
                <w:b w:val="0"/>
                <w:bCs w:val="0"/>
                <w:color w:val="auto"/>
                <w:sz w:val="21"/>
                <w:szCs w:val="21"/>
              </w:rPr>
              <w:t>速动比率</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6A482A7">
            <w:pPr>
              <w:spacing w:before="0" w:after="0" w:line="320" w:lineRule="auto"/>
              <w:jc w:val="center"/>
              <w:rPr>
                <w:color w:val="auto"/>
              </w:rPr>
            </w:pPr>
            <w:r>
              <w:rPr>
                <w:rFonts w:ascii="宋体" w:hAnsi="宋体" w:eastAsia="宋体" w:cs="宋体"/>
                <w:b w:val="0"/>
                <w:bCs w:val="0"/>
                <w:color w:val="auto"/>
                <w:sz w:val="21"/>
                <w:szCs w:val="21"/>
              </w:rPr>
              <w:t>财务指标</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25682C6">
            <w:pPr>
              <w:spacing w:before="0" w:after="0" w:line="320" w:lineRule="auto"/>
              <w:jc w:val="center"/>
              <w:rPr>
                <w:color w:val="auto"/>
              </w:rPr>
            </w:pPr>
            <w:r>
              <w:rPr>
                <w:rFonts w:ascii="宋体" w:hAnsi="宋体" w:eastAsia="宋体" w:cs="宋体"/>
                <w:b w:val="0"/>
                <w:bCs w:val="0"/>
                <w:color w:val="auto"/>
                <w:sz w:val="21"/>
                <w:szCs w:val="21"/>
              </w:rPr>
              <w:t>—</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76D9AE3">
            <w:pPr>
              <w:spacing w:before="0" w:after="0" w:line="320" w:lineRule="auto"/>
              <w:jc w:val="center"/>
              <w:rPr>
                <w:color w:val="auto"/>
              </w:rPr>
            </w:pPr>
            <w:r>
              <w:rPr>
                <w:rFonts w:ascii="宋体" w:hAnsi="宋体" w:eastAsia="宋体" w:cs="宋体"/>
                <w:b w:val="0"/>
                <w:bCs w:val="0"/>
                <w:color w:val="auto"/>
                <w:sz w:val="21"/>
                <w:szCs w:val="21"/>
              </w:rPr>
              <w:t>剔除存货后的短期偿债能力</w:t>
            </w:r>
          </w:p>
        </w:tc>
      </w:tr>
      <w:tr w14:paraId="15EE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D116A1B">
            <w:pPr>
              <w:spacing w:before="0" w:after="0" w:line="320" w:lineRule="auto"/>
              <w:jc w:val="center"/>
              <w:rPr>
                <w:color w:val="auto"/>
              </w:rPr>
            </w:pPr>
            <w:r>
              <w:rPr>
                <w:rFonts w:ascii="宋体" w:hAnsi="宋体" w:eastAsia="宋体" w:cs="宋体"/>
                <w:b w:val="0"/>
                <w:bCs w:val="0"/>
                <w:color w:val="auto"/>
                <w:sz w:val="21"/>
                <w:szCs w:val="21"/>
              </w:rPr>
              <w:t>资产负债率</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0164901">
            <w:pPr>
              <w:spacing w:before="0" w:after="0" w:line="320" w:lineRule="auto"/>
              <w:jc w:val="center"/>
              <w:rPr>
                <w:color w:val="auto"/>
              </w:rPr>
            </w:pPr>
            <w:r>
              <w:rPr>
                <w:rFonts w:ascii="宋体" w:hAnsi="宋体" w:eastAsia="宋体" w:cs="宋体"/>
                <w:b w:val="0"/>
                <w:bCs w:val="0"/>
                <w:color w:val="auto"/>
                <w:sz w:val="21"/>
                <w:szCs w:val="21"/>
              </w:rPr>
              <w:t>财务指标</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33819D6">
            <w:pPr>
              <w:spacing w:before="0" w:after="0" w:line="320" w:lineRule="auto"/>
              <w:jc w:val="center"/>
              <w:rPr>
                <w:color w:val="auto"/>
              </w:rPr>
            </w:pPr>
            <w:r>
              <w:rPr>
                <w:rFonts w:ascii="宋体" w:hAnsi="宋体" w:eastAsia="宋体" w:cs="宋体"/>
                <w:b w:val="0"/>
                <w:bCs w:val="0"/>
                <w:color w:val="auto"/>
                <w:sz w:val="21"/>
                <w:szCs w:val="21"/>
              </w:rPr>
              <w:t>%</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F7D97FD">
            <w:pPr>
              <w:spacing w:before="0" w:after="0" w:line="320" w:lineRule="auto"/>
              <w:jc w:val="center"/>
              <w:rPr>
                <w:color w:val="auto"/>
              </w:rPr>
            </w:pPr>
            <w:r>
              <w:rPr>
                <w:rFonts w:ascii="宋体" w:hAnsi="宋体" w:eastAsia="宋体" w:cs="宋体"/>
                <w:b w:val="0"/>
                <w:bCs w:val="0"/>
                <w:color w:val="auto"/>
                <w:sz w:val="21"/>
                <w:szCs w:val="21"/>
              </w:rPr>
              <w:t>综合负债水平衡量指标</w:t>
            </w:r>
          </w:p>
        </w:tc>
      </w:tr>
      <w:tr w14:paraId="5BC2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6C1900D">
            <w:pPr>
              <w:spacing w:before="0" w:after="0" w:line="320" w:lineRule="auto"/>
              <w:jc w:val="center"/>
              <w:rPr>
                <w:color w:val="auto"/>
              </w:rPr>
            </w:pPr>
            <w:r>
              <w:rPr>
                <w:rFonts w:ascii="宋体" w:hAnsi="宋体" w:eastAsia="宋体" w:cs="宋体"/>
                <w:b w:val="0"/>
                <w:bCs w:val="0"/>
                <w:color w:val="auto"/>
                <w:sz w:val="21"/>
                <w:szCs w:val="21"/>
              </w:rPr>
              <w:t>净资产收益率</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AFCBAD3">
            <w:pPr>
              <w:spacing w:before="0" w:after="0" w:line="320" w:lineRule="auto"/>
              <w:jc w:val="center"/>
              <w:rPr>
                <w:color w:val="auto"/>
              </w:rPr>
            </w:pPr>
            <w:r>
              <w:rPr>
                <w:rFonts w:ascii="宋体" w:hAnsi="宋体" w:eastAsia="宋体" w:cs="宋体"/>
                <w:b w:val="0"/>
                <w:bCs w:val="0"/>
                <w:color w:val="auto"/>
                <w:sz w:val="21"/>
                <w:szCs w:val="21"/>
              </w:rPr>
              <w:t>财务指标</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40129A4">
            <w:pPr>
              <w:spacing w:before="0" w:after="0" w:line="320" w:lineRule="auto"/>
              <w:jc w:val="center"/>
              <w:rPr>
                <w:color w:val="auto"/>
              </w:rPr>
            </w:pPr>
            <w:r>
              <w:rPr>
                <w:rFonts w:ascii="宋体" w:hAnsi="宋体" w:eastAsia="宋体" w:cs="宋体"/>
                <w:b w:val="0"/>
                <w:bCs w:val="0"/>
                <w:color w:val="auto"/>
                <w:sz w:val="21"/>
                <w:szCs w:val="21"/>
              </w:rPr>
              <w:t>%</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86E97A3">
            <w:pPr>
              <w:spacing w:before="0" w:after="0" w:line="320" w:lineRule="auto"/>
              <w:jc w:val="center"/>
              <w:rPr>
                <w:color w:val="auto"/>
              </w:rPr>
            </w:pPr>
            <w:r>
              <w:rPr>
                <w:rFonts w:ascii="宋体" w:hAnsi="宋体" w:eastAsia="宋体" w:cs="宋体"/>
                <w:b w:val="0"/>
                <w:bCs w:val="0"/>
                <w:color w:val="auto"/>
                <w:sz w:val="21"/>
                <w:szCs w:val="21"/>
              </w:rPr>
              <w:t>股东权益获利能力</w:t>
            </w:r>
          </w:p>
        </w:tc>
      </w:tr>
      <w:tr w14:paraId="7257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3733D6A">
            <w:pPr>
              <w:spacing w:before="0" w:after="0" w:line="320" w:lineRule="auto"/>
              <w:jc w:val="center"/>
              <w:rPr>
                <w:color w:val="auto"/>
              </w:rPr>
            </w:pPr>
            <w:r>
              <w:rPr>
                <w:rFonts w:ascii="宋体" w:hAnsi="宋体" w:eastAsia="宋体" w:cs="宋体"/>
                <w:b w:val="0"/>
                <w:bCs w:val="0"/>
                <w:color w:val="auto"/>
                <w:sz w:val="21"/>
                <w:szCs w:val="21"/>
              </w:rPr>
              <w:t>总资产净利率</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A070877">
            <w:pPr>
              <w:spacing w:before="0" w:after="0" w:line="320" w:lineRule="auto"/>
              <w:jc w:val="center"/>
              <w:rPr>
                <w:color w:val="auto"/>
              </w:rPr>
            </w:pPr>
            <w:r>
              <w:rPr>
                <w:rFonts w:ascii="宋体" w:hAnsi="宋体" w:eastAsia="宋体" w:cs="宋体"/>
                <w:b w:val="0"/>
                <w:bCs w:val="0"/>
                <w:color w:val="auto"/>
                <w:sz w:val="21"/>
                <w:szCs w:val="21"/>
              </w:rPr>
              <w:t>财务指标</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82D456B">
            <w:pPr>
              <w:spacing w:before="0" w:after="0" w:line="320" w:lineRule="auto"/>
              <w:jc w:val="center"/>
              <w:rPr>
                <w:color w:val="auto"/>
              </w:rPr>
            </w:pPr>
            <w:r>
              <w:rPr>
                <w:rFonts w:ascii="宋体" w:hAnsi="宋体" w:eastAsia="宋体" w:cs="宋体"/>
                <w:b w:val="0"/>
                <w:bCs w:val="0"/>
                <w:color w:val="auto"/>
                <w:sz w:val="21"/>
                <w:szCs w:val="21"/>
              </w:rPr>
              <w:t>%</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4F1658E">
            <w:pPr>
              <w:spacing w:before="0" w:after="0" w:line="320" w:lineRule="auto"/>
              <w:jc w:val="center"/>
              <w:rPr>
                <w:color w:val="auto"/>
              </w:rPr>
            </w:pPr>
            <w:r>
              <w:rPr>
                <w:rFonts w:ascii="宋体" w:hAnsi="宋体" w:eastAsia="宋体" w:cs="宋体"/>
                <w:b w:val="0"/>
                <w:bCs w:val="0"/>
                <w:color w:val="auto"/>
                <w:sz w:val="21"/>
                <w:szCs w:val="21"/>
              </w:rPr>
              <w:t>资产综合盈利能力</w:t>
            </w:r>
          </w:p>
        </w:tc>
      </w:tr>
      <w:tr w14:paraId="7F50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D042C8C">
            <w:pPr>
              <w:spacing w:before="0" w:after="0" w:line="320" w:lineRule="auto"/>
              <w:jc w:val="center"/>
              <w:rPr>
                <w:color w:val="auto"/>
              </w:rPr>
            </w:pPr>
            <w:r>
              <w:rPr>
                <w:rFonts w:ascii="宋体" w:hAnsi="宋体" w:eastAsia="宋体" w:cs="宋体"/>
                <w:b w:val="0"/>
                <w:bCs w:val="0"/>
                <w:color w:val="auto"/>
                <w:sz w:val="21"/>
                <w:szCs w:val="21"/>
              </w:rPr>
              <w:t>总资产周转率</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D092BEC">
            <w:pPr>
              <w:spacing w:before="0" w:after="0" w:line="320" w:lineRule="auto"/>
              <w:jc w:val="center"/>
              <w:rPr>
                <w:color w:val="auto"/>
              </w:rPr>
            </w:pPr>
            <w:r>
              <w:rPr>
                <w:rFonts w:ascii="宋体" w:hAnsi="宋体" w:eastAsia="宋体" w:cs="宋体"/>
                <w:b w:val="0"/>
                <w:bCs w:val="0"/>
                <w:color w:val="auto"/>
                <w:sz w:val="21"/>
                <w:szCs w:val="21"/>
              </w:rPr>
              <w:t>财务指标</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C65DCAF">
            <w:pPr>
              <w:spacing w:before="0" w:after="0" w:line="320" w:lineRule="auto"/>
              <w:jc w:val="center"/>
              <w:rPr>
                <w:color w:val="auto"/>
              </w:rPr>
            </w:pPr>
            <w:r>
              <w:rPr>
                <w:rFonts w:ascii="宋体" w:hAnsi="宋体" w:eastAsia="宋体" w:cs="宋体"/>
                <w:b w:val="0"/>
                <w:bCs w:val="0"/>
                <w:color w:val="auto"/>
                <w:sz w:val="21"/>
                <w:szCs w:val="21"/>
              </w:rPr>
              <w:t>次</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427C6FE">
            <w:pPr>
              <w:spacing w:before="0" w:after="0" w:line="320" w:lineRule="auto"/>
              <w:jc w:val="center"/>
              <w:rPr>
                <w:color w:val="auto"/>
              </w:rPr>
            </w:pPr>
            <w:r>
              <w:rPr>
                <w:rFonts w:ascii="宋体" w:hAnsi="宋体" w:eastAsia="宋体" w:cs="宋体"/>
                <w:b w:val="0"/>
                <w:bCs w:val="0"/>
                <w:color w:val="auto"/>
                <w:sz w:val="21"/>
                <w:szCs w:val="21"/>
              </w:rPr>
              <w:t>资产使用效率指标</w:t>
            </w:r>
          </w:p>
        </w:tc>
      </w:tr>
      <w:tr w14:paraId="0F14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2375E70">
            <w:pPr>
              <w:spacing w:before="0" w:after="0" w:line="320" w:lineRule="auto"/>
              <w:jc w:val="center"/>
              <w:rPr>
                <w:color w:val="auto"/>
              </w:rPr>
            </w:pPr>
            <w:r>
              <w:rPr>
                <w:rFonts w:ascii="宋体" w:hAnsi="宋体" w:eastAsia="宋体" w:cs="宋体"/>
                <w:b w:val="0"/>
                <w:bCs w:val="0"/>
                <w:color w:val="auto"/>
                <w:sz w:val="21"/>
                <w:szCs w:val="21"/>
              </w:rPr>
              <w:t>EBITDA</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6437006">
            <w:pPr>
              <w:spacing w:before="0" w:after="0" w:line="320" w:lineRule="auto"/>
              <w:jc w:val="center"/>
              <w:rPr>
                <w:color w:val="auto"/>
              </w:rPr>
            </w:pPr>
            <w:r>
              <w:rPr>
                <w:rFonts w:ascii="宋体" w:hAnsi="宋体" w:eastAsia="宋体" w:cs="宋体"/>
                <w:b w:val="0"/>
                <w:bCs w:val="0"/>
                <w:color w:val="auto"/>
                <w:sz w:val="21"/>
                <w:szCs w:val="21"/>
              </w:rPr>
              <w:t>财务指标</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D3F3D8B">
            <w:pPr>
              <w:spacing w:before="0" w:after="0" w:line="320" w:lineRule="auto"/>
              <w:jc w:val="center"/>
              <w:rPr>
                <w:color w:val="auto"/>
              </w:rPr>
            </w:pPr>
            <w:r>
              <w:rPr>
                <w:rFonts w:ascii="宋体" w:hAnsi="宋体" w:eastAsia="宋体" w:cs="宋体"/>
                <w:b w:val="0"/>
                <w:bCs w:val="0"/>
                <w:color w:val="auto"/>
                <w:sz w:val="21"/>
                <w:szCs w:val="21"/>
              </w:rPr>
              <w:t>亿元</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236660A">
            <w:pPr>
              <w:spacing w:before="0" w:after="0" w:line="320" w:lineRule="auto"/>
              <w:jc w:val="center"/>
              <w:rPr>
                <w:color w:val="auto"/>
              </w:rPr>
            </w:pPr>
            <w:r>
              <w:rPr>
                <w:rFonts w:ascii="宋体" w:hAnsi="宋体" w:eastAsia="宋体" w:cs="宋体"/>
                <w:b w:val="0"/>
                <w:bCs w:val="0"/>
                <w:color w:val="auto"/>
                <w:sz w:val="21"/>
                <w:szCs w:val="21"/>
              </w:rPr>
              <w:t>息税折旧摊销前利润</w:t>
            </w:r>
          </w:p>
        </w:tc>
      </w:tr>
    </w:tbl>
    <w:p w14:paraId="18BA0C80">
      <w:pPr>
        <w:rPr>
          <w:color w:val="auto"/>
        </w:rPr>
      </w:pPr>
      <w:r>
        <w:rPr>
          <w:color w:val="auto"/>
        </w:rPr>
        <w:t xml:space="preserve"> </w:t>
      </w:r>
    </w:p>
    <w:p w14:paraId="210CF45B">
      <w:pPr>
        <w:spacing w:before="0" w:after="0" w:line="360" w:lineRule="auto"/>
        <w:ind w:firstLine="480"/>
        <w:jc w:val="both"/>
        <w:rPr>
          <w:color w:val="auto"/>
        </w:rPr>
      </w:pPr>
      <w:r>
        <w:rPr>
          <w:rFonts w:ascii="宋体" w:hAnsi="宋体" w:eastAsia="宋体" w:cs="宋体"/>
          <w:color w:val="auto"/>
          <w:sz w:val="24"/>
          <w:szCs w:val="24"/>
        </w:rPr>
        <w:t>数据处理核心代码如下。</w:t>
      </w:r>
    </w:p>
    <w:p w14:paraId="23EBE45A">
      <w:pPr>
        <w:shd w:val="clear" w:color="auto" w:fill="F5F5F5"/>
        <w:spacing w:before="0" w:after="0" w:line="280" w:lineRule="auto"/>
        <w:ind w:left="480"/>
        <w:jc w:val="left"/>
        <w:rPr>
          <w:color w:val="auto"/>
        </w:rPr>
      </w:pPr>
      <w:r>
        <w:rPr>
          <w:rFonts w:ascii="Consolas" w:hAnsi="Consolas" w:eastAsia="Consolas" w:cs="Consolas"/>
          <w:color w:val="auto"/>
          <w:sz w:val="20"/>
          <w:szCs w:val="20"/>
        </w:rPr>
        <w:t># 1. 去重</w:t>
      </w:r>
    </w:p>
    <w:p w14:paraId="271C440C">
      <w:pPr>
        <w:shd w:val="clear" w:color="auto" w:fill="F5F5F5"/>
        <w:spacing w:before="0" w:after="0" w:line="280" w:lineRule="auto"/>
        <w:ind w:left="480"/>
        <w:jc w:val="left"/>
        <w:rPr>
          <w:color w:val="auto"/>
        </w:rPr>
      </w:pPr>
      <w:r>
        <w:rPr>
          <w:rFonts w:ascii="Consolas" w:hAnsi="Consolas" w:eastAsia="Consolas" w:cs="Consolas"/>
          <w:color w:val="auto"/>
          <w:sz w:val="20"/>
          <w:szCs w:val="20"/>
        </w:rPr>
        <w:t>df = df.drop_duplicates(subset=['ts_code', 'end_date'])</w:t>
      </w:r>
    </w:p>
    <w:p w14:paraId="6EE99317">
      <w:pPr>
        <w:shd w:val="clear" w:color="auto" w:fill="F5F5F5"/>
        <w:spacing w:before="0" w:after="0" w:line="280" w:lineRule="auto"/>
        <w:ind w:left="480"/>
        <w:jc w:val="left"/>
        <w:rPr>
          <w:color w:val="auto"/>
        </w:rPr>
      </w:pPr>
      <w:r>
        <w:rPr>
          <w:rFonts w:ascii="Consolas" w:hAnsi="Consolas" w:eastAsia="Consolas" w:cs="Consolas"/>
          <w:color w:val="auto"/>
          <w:sz w:val="20"/>
          <w:szCs w:val="20"/>
        </w:rPr>
        <w:t xml:space="preserve"> </w:t>
      </w:r>
    </w:p>
    <w:p w14:paraId="5A4AF87E">
      <w:pPr>
        <w:shd w:val="clear" w:color="auto" w:fill="F5F5F5"/>
        <w:spacing w:before="0" w:after="0" w:line="280" w:lineRule="auto"/>
        <w:ind w:left="480"/>
        <w:jc w:val="left"/>
        <w:rPr>
          <w:color w:val="auto"/>
        </w:rPr>
      </w:pPr>
      <w:r>
        <w:rPr>
          <w:rFonts w:ascii="Consolas" w:hAnsi="Consolas" w:eastAsia="Consolas" w:cs="Consolas"/>
          <w:color w:val="auto"/>
          <w:sz w:val="20"/>
          <w:szCs w:val="20"/>
        </w:rPr>
        <w:t># 2. 删除关键字段缺失行，其余用中位数填充</w:t>
      </w:r>
    </w:p>
    <w:p w14:paraId="1B6C9D8B">
      <w:pPr>
        <w:shd w:val="clear" w:color="auto" w:fill="F5F5F5"/>
        <w:spacing w:before="0" w:after="0" w:line="280" w:lineRule="auto"/>
        <w:ind w:left="480"/>
        <w:jc w:val="left"/>
        <w:rPr>
          <w:color w:val="auto"/>
        </w:rPr>
      </w:pPr>
      <w:r>
        <w:rPr>
          <w:rFonts w:ascii="Consolas" w:hAnsi="Consolas" w:eastAsia="Consolas" w:cs="Consolas"/>
          <w:color w:val="auto"/>
          <w:sz w:val="20"/>
          <w:szCs w:val="20"/>
        </w:rPr>
        <w:t>df = df.dropna(subset=['n_cashflow_act', 'current_ratio', 'debt_to_assets', 'roe'])</w:t>
      </w:r>
    </w:p>
    <w:p w14:paraId="2A486883">
      <w:pPr>
        <w:shd w:val="clear" w:color="auto" w:fill="F5F5F5"/>
        <w:spacing w:before="0" w:after="0" w:line="280" w:lineRule="auto"/>
        <w:ind w:left="480"/>
        <w:jc w:val="left"/>
        <w:rPr>
          <w:color w:val="auto"/>
        </w:rPr>
      </w:pPr>
      <w:r>
        <w:rPr>
          <w:rFonts w:ascii="Consolas" w:hAnsi="Consolas" w:eastAsia="Consolas" w:cs="Consolas"/>
          <w:color w:val="auto"/>
          <w:sz w:val="20"/>
          <w:szCs w:val="20"/>
        </w:rPr>
        <w:t>for col in df.select_dtypes(include='number').columns:</w:t>
      </w:r>
    </w:p>
    <w:p w14:paraId="5F4E5A19">
      <w:pPr>
        <w:shd w:val="clear" w:color="auto" w:fill="F5F5F5"/>
        <w:spacing w:before="0" w:after="0" w:line="280" w:lineRule="auto"/>
        <w:ind w:left="480"/>
        <w:jc w:val="left"/>
        <w:rPr>
          <w:color w:val="auto"/>
        </w:rPr>
      </w:pPr>
      <w:r>
        <w:rPr>
          <w:rFonts w:ascii="Consolas" w:hAnsi="Consolas" w:eastAsia="Consolas" w:cs="Consolas"/>
          <w:color w:val="auto"/>
          <w:sz w:val="20"/>
          <w:szCs w:val="20"/>
        </w:rPr>
        <w:t xml:space="preserve">    df[col] = df[col].fillna(df[col].median())</w:t>
      </w:r>
    </w:p>
    <w:p w14:paraId="5DCF9A3B">
      <w:pPr>
        <w:shd w:val="clear" w:color="auto" w:fill="F5F5F5"/>
        <w:spacing w:before="0" w:after="0" w:line="280" w:lineRule="auto"/>
        <w:ind w:left="480"/>
        <w:jc w:val="left"/>
        <w:rPr>
          <w:color w:val="auto"/>
        </w:rPr>
      </w:pPr>
      <w:r>
        <w:rPr>
          <w:rFonts w:ascii="Consolas" w:hAnsi="Consolas" w:eastAsia="Consolas" w:cs="Consolas"/>
          <w:color w:val="auto"/>
          <w:sz w:val="20"/>
          <w:szCs w:val="20"/>
        </w:rPr>
        <w:t xml:space="preserve"> </w:t>
      </w:r>
    </w:p>
    <w:p w14:paraId="67A339AC">
      <w:pPr>
        <w:shd w:val="clear" w:color="auto" w:fill="F5F5F5"/>
        <w:spacing w:before="0" w:after="0" w:line="280" w:lineRule="auto"/>
        <w:ind w:left="480"/>
        <w:jc w:val="left"/>
        <w:rPr>
          <w:color w:val="auto"/>
        </w:rPr>
      </w:pPr>
      <w:r>
        <w:rPr>
          <w:rFonts w:ascii="Consolas" w:hAnsi="Consolas" w:eastAsia="Consolas" w:cs="Consolas"/>
          <w:color w:val="auto"/>
          <w:sz w:val="20"/>
          <w:szCs w:val="20"/>
        </w:rPr>
        <w:t># 3. 统一数据类型</w:t>
      </w:r>
    </w:p>
    <w:p w14:paraId="07BCA08A">
      <w:pPr>
        <w:shd w:val="clear" w:color="auto" w:fill="F5F5F5"/>
        <w:spacing w:before="0" w:after="0" w:line="280" w:lineRule="auto"/>
        <w:ind w:left="480"/>
        <w:jc w:val="left"/>
        <w:rPr>
          <w:color w:val="auto"/>
        </w:rPr>
      </w:pPr>
      <w:r>
        <w:rPr>
          <w:rFonts w:ascii="Consolas" w:hAnsi="Consolas" w:eastAsia="Consolas" w:cs="Consolas"/>
          <w:color w:val="auto"/>
          <w:sz w:val="20"/>
          <w:szCs w:val="20"/>
        </w:rPr>
        <w:t>for col in num_cols:</w:t>
      </w:r>
    </w:p>
    <w:p w14:paraId="7B8FB145">
      <w:pPr>
        <w:shd w:val="clear" w:color="auto" w:fill="F5F5F5"/>
        <w:spacing w:before="0" w:after="0" w:line="280" w:lineRule="auto"/>
        <w:ind w:left="480"/>
        <w:jc w:val="left"/>
        <w:rPr>
          <w:color w:val="auto"/>
        </w:rPr>
      </w:pPr>
      <w:r>
        <w:rPr>
          <w:rFonts w:ascii="Consolas" w:hAnsi="Consolas" w:eastAsia="Consolas" w:cs="Consolas"/>
          <w:color w:val="auto"/>
          <w:sz w:val="20"/>
          <w:szCs w:val="20"/>
        </w:rPr>
        <w:t xml:space="preserve">    if col in df.columns:</w:t>
      </w:r>
    </w:p>
    <w:p w14:paraId="7960D137">
      <w:pPr>
        <w:shd w:val="clear" w:color="auto" w:fill="F5F5F5"/>
        <w:spacing w:before="0" w:after="0" w:line="280" w:lineRule="auto"/>
        <w:ind w:left="480"/>
        <w:jc w:val="left"/>
        <w:rPr>
          <w:color w:val="auto"/>
        </w:rPr>
      </w:pPr>
      <w:r>
        <w:rPr>
          <w:rFonts w:ascii="Consolas" w:hAnsi="Consolas" w:eastAsia="Consolas" w:cs="Consolas"/>
          <w:color w:val="auto"/>
          <w:sz w:val="20"/>
          <w:szCs w:val="20"/>
        </w:rPr>
        <w:t xml:space="preserve">        df[col] = pd.to_numeric(df[col], errors='coerce')</w:t>
      </w:r>
    </w:p>
    <w:p w14:paraId="006991E1">
      <w:pPr>
        <w:shd w:val="clear" w:color="auto" w:fill="F5F5F5"/>
        <w:spacing w:before="0" w:after="0" w:line="280" w:lineRule="auto"/>
        <w:ind w:left="480"/>
        <w:jc w:val="left"/>
        <w:rPr>
          <w:color w:val="auto"/>
        </w:rPr>
      </w:pPr>
      <w:r>
        <w:rPr>
          <w:rFonts w:ascii="Consolas" w:hAnsi="Consolas" w:eastAsia="Consolas" w:cs="Consolas"/>
          <w:color w:val="auto"/>
          <w:sz w:val="20"/>
          <w:szCs w:val="20"/>
        </w:rPr>
        <w:t>df['end_date'] = pd.to_datetime(df['end_date'], format='%Y%m%d')</w:t>
      </w:r>
    </w:p>
    <w:p w14:paraId="717FBB67">
      <w:pPr>
        <w:shd w:val="clear" w:color="auto" w:fill="F5F5F5"/>
        <w:spacing w:before="0" w:after="0" w:line="280" w:lineRule="auto"/>
        <w:ind w:left="480"/>
        <w:jc w:val="left"/>
        <w:rPr>
          <w:color w:val="auto"/>
        </w:rPr>
      </w:pPr>
      <w:r>
        <w:rPr>
          <w:rFonts w:ascii="Consolas" w:hAnsi="Consolas" w:eastAsia="Consolas" w:cs="Consolas"/>
          <w:color w:val="auto"/>
          <w:sz w:val="20"/>
          <w:szCs w:val="20"/>
        </w:rPr>
        <w:t xml:space="preserve"> </w:t>
      </w:r>
    </w:p>
    <w:p w14:paraId="2AF1E7E5">
      <w:pPr>
        <w:shd w:val="clear" w:color="auto" w:fill="F5F5F5"/>
        <w:spacing w:before="0" w:after="0" w:line="280" w:lineRule="auto"/>
        <w:ind w:left="480"/>
        <w:jc w:val="left"/>
        <w:rPr>
          <w:color w:val="auto"/>
        </w:rPr>
      </w:pPr>
      <w:r>
        <w:rPr>
          <w:rFonts w:ascii="Consolas" w:hAnsi="Consolas" w:eastAsia="Consolas" w:cs="Consolas"/>
          <w:color w:val="auto"/>
          <w:sz w:val="20"/>
          <w:szCs w:val="20"/>
        </w:rPr>
        <w:t># 4. 3 倍标准差去异常值</w:t>
      </w:r>
    </w:p>
    <w:p w14:paraId="3D8CA046">
      <w:pPr>
        <w:shd w:val="clear" w:color="auto" w:fill="F5F5F5"/>
        <w:spacing w:before="0" w:after="0" w:line="280" w:lineRule="auto"/>
        <w:ind w:left="480"/>
        <w:jc w:val="left"/>
        <w:rPr>
          <w:color w:val="auto"/>
        </w:rPr>
      </w:pPr>
      <w:r>
        <w:rPr>
          <w:rFonts w:ascii="Consolas" w:hAnsi="Consolas" w:eastAsia="Consolas" w:cs="Consolas"/>
          <w:color w:val="auto"/>
          <w:sz w:val="20"/>
          <w:szCs w:val="20"/>
        </w:rPr>
        <w:t>for col in ['current_ratio', 'quick_ratio', 'debt_to_assets', 'roe', 'roa']:</w:t>
      </w:r>
    </w:p>
    <w:p w14:paraId="7549202E">
      <w:pPr>
        <w:shd w:val="clear" w:color="auto" w:fill="F5F5F5"/>
        <w:spacing w:before="0" w:after="0" w:line="280" w:lineRule="auto"/>
        <w:ind w:left="480"/>
        <w:jc w:val="left"/>
        <w:rPr>
          <w:color w:val="auto"/>
        </w:rPr>
      </w:pPr>
      <w:r>
        <w:rPr>
          <w:rFonts w:ascii="Consolas" w:hAnsi="Consolas" w:eastAsia="Consolas" w:cs="Consolas"/>
          <w:color w:val="auto"/>
          <w:sz w:val="20"/>
          <w:szCs w:val="20"/>
        </w:rPr>
        <w:t xml:space="preserve">    if col in df.columns:</w:t>
      </w:r>
    </w:p>
    <w:p w14:paraId="58D7E826">
      <w:pPr>
        <w:shd w:val="clear" w:color="auto" w:fill="F5F5F5"/>
        <w:spacing w:before="0" w:after="0" w:line="280" w:lineRule="auto"/>
        <w:ind w:left="480"/>
        <w:jc w:val="left"/>
        <w:rPr>
          <w:color w:val="auto"/>
        </w:rPr>
      </w:pPr>
      <w:r>
        <w:rPr>
          <w:rFonts w:ascii="Consolas" w:hAnsi="Consolas" w:eastAsia="Consolas" w:cs="Consolas"/>
          <w:color w:val="auto"/>
          <w:sz w:val="20"/>
          <w:szCs w:val="20"/>
        </w:rPr>
        <w:t xml:space="preserve">        mean, std = df[col].mean(), df[col].std()</w:t>
      </w:r>
    </w:p>
    <w:p w14:paraId="22C9CBF8">
      <w:pPr>
        <w:shd w:val="clear" w:color="auto" w:fill="F5F5F5"/>
        <w:spacing w:before="0" w:after="0" w:line="280" w:lineRule="auto"/>
        <w:ind w:left="480"/>
        <w:jc w:val="left"/>
        <w:rPr>
          <w:color w:val="auto"/>
        </w:rPr>
      </w:pPr>
      <w:r>
        <w:rPr>
          <w:rFonts w:ascii="Consolas" w:hAnsi="Consolas" w:eastAsia="Consolas" w:cs="Consolas"/>
          <w:color w:val="auto"/>
          <w:sz w:val="20"/>
          <w:szCs w:val="20"/>
        </w:rPr>
        <w:t xml:space="preserve">        df = df[(df[col] &gt;= mean - 3*std) &amp; (df[col] &lt;= mean + 3*std)]</w:t>
      </w:r>
    </w:p>
    <w:p w14:paraId="7CBE3193">
      <w:pPr>
        <w:shd w:val="clear" w:color="auto" w:fill="F5F5F5"/>
        <w:spacing w:before="0" w:after="0" w:line="280" w:lineRule="auto"/>
        <w:ind w:left="480"/>
        <w:jc w:val="left"/>
        <w:rPr>
          <w:color w:val="auto"/>
        </w:rPr>
      </w:pPr>
      <w:r>
        <w:rPr>
          <w:rFonts w:ascii="Consolas" w:hAnsi="Consolas" w:eastAsia="Consolas" w:cs="Consolas"/>
          <w:color w:val="auto"/>
          <w:sz w:val="20"/>
          <w:szCs w:val="20"/>
        </w:rPr>
        <w:t xml:space="preserve"> </w:t>
      </w:r>
    </w:p>
    <w:p w14:paraId="635DF96E">
      <w:pPr>
        <w:shd w:val="clear" w:color="auto" w:fill="F5F5F5"/>
        <w:spacing w:before="0" w:after="0" w:line="280" w:lineRule="auto"/>
        <w:ind w:left="480"/>
        <w:jc w:val="left"/>
        <w:rPr>
          <w:color w:val="auto"/>
        </w:rPr>
      </w:pPr>
      <w:r>
        <w:rPr>
          <w:rFonts w:ascii="Consolas" w:hAnsi="Consolas" w:eastAsia="Consolas" w:cs="Consolas"/>
          <w:color w:val="auto"/>
          <w:sz w:val="20"/>
          <w:szCs w:val="20"/>
        </w:rPr>
        <w:t># 5. 单位换算（元 → 亿元）并重命名字段</w:t>
      </w:r>
    </w:p>
    <w:p w14:paraId="49DE023E">
      <w:pPr>
        <w:shd w:val="clear" w:color="auto" w:fill="F5F5F5"/>
        <w:spacing w:before="0" w:after="0" w:line="280" w:lineRule="auto"/>
        <w:ind w:left="480"/>
        <w:jc w:val="left"/>
        <w:rPr>
          <w:color w:val="auto"/>
        </w:rPr>
      </w:pPr>
      <w:r>
        <w:rPr>
          <w:rFonts w:ascii="Consolas" w:hAnsi="Consolas" w:eastAsia="Consolas" w:cs="Consolas"/>
          <w:color w:val="auto"/>
          <w:sz w:val="20"/>
          <w:szCs w:val="20"/>
        </w:rPr>
        <w:t>for col in cash_cols:</w:t>
      </w:r>
    </w:p>
    <w:p w14:paraId="754943F5">
      <w:pPr>
        <w:shd w:val="clear" w:color="auto" w:fill="F5F5F5"/>
        <w:spacing w:before="0" w:after="0" w:line="280" w:lineRule="auto"/>
        <w:ind w:left="480"/>
        <w:jc w:val="left"/>
        <w:rPr>
          <w:color w:val="auto"/>
        </w:rPr>
      </w:pPr>
      <w:r>
        <w:rPr>
          <w:rFonts w:ascii="Consolas" w:hAnsi="Consolas" w:eastAsia="Consolas" w:cs="Consolas"/>
          <w:color w:val="auto"/>
          <w:sz w:val="20"/>
          <w:szCs w:val="20"/>
        </w:rPr>
        <w:t xml:space="preserve">    if col in df.columns:</w:t>
      </w:r>
    </w:p>
    <w:p w14:paraId="0E9E424C">
      <w:pPr>
        <w:shd w:val="clear" w:color="auto" w:fill="F5F5F5"/>
        <w:spacing w:before="0" w:after="0" w:line="280" w:lineRule="auto"/>
        <w:ind w:left="480"/>
        <w:jc w:val="left"/>
        <w:rPr>
          <w:color w:val="auto"/>
        </w:rPr>
      </w:pPr>
      <w:r>
        <w:rPr>
          <w:rFonts w:ascii="Consolas" w:hAnsi="Consolas" w:eastAsia="Consolas" w:cs="Consolas"/>
          <w:color w:val="auto"/>
          <w:sz w:val="20"/>
          <w:szCs w:val="20"/>
        </w:rPr>
        <w:t xml:space="preserve">        df[col] = (df[col] / 1e8).round(4)</w:t>
      </w:r>
    </w:p>
    <w:p w14:paraId="7A1A540C">
      <w:pPr>
        <w:shd w:val="clear" w:color="auto" w:fill="F5F5F5"/>
        <w:spacing w:before="0" w:after="0" w:line="280" w:lineRule="auto"/>
        <w:ind w:left="480"/>
        <w:jc w:val="left"/>
        <w:rPr>
          <w:color w:val="auto"/>
        </w:rPr>
      </w:pPr>
      <w:r>
        <w:rPr>
          <w:rFonts w:ascii="Consolas" w:hAnsi="Consolas" w:eastAsia="Consolas" w:cs="Consolas"/>
          <w:color w:val="auto"/>
          <w:sz w:val="20"/>
          <w:szCs w:val="20"/>
        </w:rPr>
        <w:t>df = df.rename(columns=rename_map)</w:t>
      </w:r>
    </w:p>
    <w:p w14:paraId="3D6CA353">
      <w:pPr>
        <w:shd w:val="clear" w:color="auto" w:fill="F5F5F5"/>
        <w:spacing w:before="0" w:after="0" w:line="280" w:lineRule="auto"/>
        <w:ind w:left="480"/>
        <w:jc w:val="left"/>
        <w:rPr>
          <w:color w:val="auto"/>
        </w:rPr>
      </w:pPr>
      <w:r>
        <w:rPr>
          <w:rFonts w:ascii="Consolas" w:hAnsi="Consolas" w:eastAsia="Consolas" w:cs="Consolas"/>
          <w:color w:val="auto"/>
          <w:sz w:val="20"/>
          <w:szCs w:val="20"/>
        </w:rPr>
        <w:t>df.to_csv('cash_flow_data.csv', index=False, encoding='utf-8-sig')</w:t>
      </w:r>
    </w:p>
    <w:p w14:paraId="3458E134">
      <w:pPr>
        <w:pStyle w:val="2"/>
        <w:pageBreakBefore/>
        <w:spacing w:before="480" w:after="360"/>
        <w:jc w:val="center"/>
        <w:rPr>
          <w:color w:val="auto"/>
        </w:rPr>
      </w:pPr>
      <w:bookmarkStart w:id="7" w:name="_Toc12996"/>
      <w:r>
        <w:rPr>
          <w:rFonts w:ascii="黑体" w:hAnsi="黑体" w:eastAsia="黑体" w:cs="黑体"/>
          <w:b/>
          <w:bCs/>
          <w:color w:val="auto"/>
          <w:sz w:val="36"/>
          <w:szCs w:val="36"/>
        </w:rPr>
        <w:t>第3章  分析模块一：行业现金流总览</w:t>
      </w:r>
      <w:bookmarkEnd w:id="7"/>
    </w:p>
    <w:p w14:paraId="481FDE3D">
      <w:pPr>
        <w:spacing w:before="0" w:after="0" w:line="360" w:lineRule="auto"/>
        <w:ind w:firstLine="480"/>
        <w:jc w:val="both"/>
        <w:rPr>
          <w:color w:val="auto"/>
        </w:rPr>
      </w:pPr>
      <w:r>
        <w:rPr>
          <w:rFonts w:ascii="宋体" w:hAnsi="宋体" w:eastAsia="宋体" w:cs="宋体"/>
          <w:color w:val="auto"/>
          <w:sz w:val="24"/>
          <w:szCs w:val="24"/>
        </w:rPr>
        <w:t>后续四章会按行业分别比较，但在拆开看之前，先把全样本拉到一张图里看个大致轮廓。本章用两张看板回答两个问题：哪几个行业贡献了主要现金流，以及 2020—2023 年这 4 年里全行业现金流是越来越好还是有起伏。</w:t>
      </w:r>
    </w:p>
    <w:p w14:paraId="2CD38EDA">
      <w:pPr>
        <w:pStyle w:val="3"/>
        <w:spacing w:before="320" w:after="200"/>
        <w:jc w:val="left"/>
        <w:rPr>
          <w:color w:val="auto"/>
        </w:rPr>
      </w:pPr>
      <w:bookmarkStart w:id="8" w:name="_Toc14976"/>
      <w:r>
        <w:rPr>
          <w:rFonts w:ascii="黑体" w:hAnsi="黑体" w:eastAsia="黑体" w:cs="黑体"/>
          <w:b/>
          <w:bCs/>
          <w:color w:val="auto"/>
          <w:sz w:val="28"/>
          <w:szCs w:val="28"/>
        </w:rPr>
        <w:t>3.1  各行业经营现金流均值结构</w:t>
      </w:r>
      <w:bookmarkEnd w:id="8"/>
    </w:p>
    <w:p w14:paraId="0C8A6817">
      <w:pPr>
        <w:spacing w:before="0" w:after="0" w:line="360" w:lineRule="auto"/>
        <w:ind w:firstLine="480"/>
        <w:jc w:val="both"/>
        <w:rPr>
          <w:color w:val="auto"/>
        </w:rPr>
      </w:pPr>
      <w:r>
        <w:rPr>
          <w:rFonts w:ascii="宋体" w:hAnsi="宋体" w:eastAsia="宋体" w:cs="宋体"/>
          <w:color w:val="auto"/>
          <w:sz w:val="24"/>
          <w:szCs w:val="24"/>
        </w:rPr>
        <w:t>把各行业 2020—2023 年的经营活动现金流净额（单位：亿元）汇总到环形图上，可以一眼看出行业之间的规模差距，见图 3-1。</w:t>
      </w:r>
    </w:p>
    <w:p w14:paraId="581107E6">
      <w:pPr>
        <w:spacing w:before="120" w:after="80"/>
        <w:jc w:val="center"/>
        <w:rPr>
          <w:color w:val="auto"/>
        </w:rPr>
      </w:pPr>
      <w:r>
        <w:rPr>
          <w:color w:val="auto"/>
        </w:rPr>
        <w:drawing>
          <wp:inline distT="0" distB="0" distL="0" distR="0">
            <wp:extent cx="4381500" cy="2190750"/>
            <wp:effectExtent l="0" t="0" r="0" b="0"/>
            <wp:docPr id="2" name="各行业经营现金流均值&amp;&amp;饼图.png" descr="各行业经营现金流均值&amp;&amp;饼图.png" title="各行业经营现金流均值&amp;&amp;饼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各行业经营现金流均值&amp;&amp;饼图.png" descr="各行业经营现金流均值&amp;&amp;饼图.png" title="各行业经营现金流均值&amp;&amp;饼图.png"/>
                    <pic:cNvPicPr>
                      <a:picLocks noChangeAspect="1" noChangeArrowheads="1"/>
                    </pic:cNvPicPr>
                  </pic:nvPicPr>
                  <pic:blipFill>
                    <a:blip r:embed="rId7"/>
                    <a:srcRect/>
                    <a:stretch>
                      <a:fillRect/>
                    </a:stretch>
                  </pic:blipFill>
                  <pic:spPr>
                    <a:xfrm>
                      <a:off x="0" y="0"/>
                      <a:ext cx="4381500" cy="2190750"/>
                    </a:xfrm>
                    <a:prstGeom prst="rect">
                      <a:avLst/>
                    </a:prstGeom>
                  </pic:spPr>
                </pic:pic>
              </a:graphicData>
            </a:graphic>
          </wp:inline>
        </w:drawing>
      </w:r>
    </w:p>
    <w:p w14:paraId="431552E8">
      <w:pPr>
        <w:spacing w:before="60" w:after="120"/>
        <w:jc w:val="center"/>
        <w:rPr>
          <w:color w:val="auto"/>
        </w:rPr>
      </w:pPr>
      <w:r>
        <w:rPr>
          <w:rFonts w:ascii="宋体" w:hAnsi="宋体" w:eastAsia="宋体" w:cs="宋体"/>
          <w:b/>
          <w:bCs/>
          <w:color w:val="auto"/>
          <w:sz w:val="21"/>
          <w:szCs w:val="21"/>
        </w:rPr>
        <w:t>图3-1  各行业经营现金流均值（亿元）</w:t>
      </w:r>
    </w:p>
    <w:p w14:paraId="69A246FA">
      <w:pPr>
        <w:spacing w:before="0" w:after="0" w:line="360" w:lineRule="auto"/>
        <w:ind w:firstLine="480"/>
        <w:jc w:val="both"/>
        <w:rPr>
          <w:color w:val="auto"/>
        </w:rPr>
      </w:pPr>
      <w:r>
        <w:rPr>
          <w:rFonts w:ascii="宋体" w:hAnsi="宋体" w:eastAsia="宋体" w:cs="宋体"/>
          <w:color w:val="auto"/>
          <w:sz w:val="24"/>
          <w:szCs w:val="24"/>
        </w:rPr>
        <w:t>图 3-1 中行业间的差距相当大。汽车整车一家就有 1 358.87 亿元，约等于其他 8 个行业之和的一倍多，占整体的六成。化学制药（319.58 亿元）、半导体（241.12 亿元）、化工原料（175.61 亿元）属于第二档，三家合起来约占三成。剩下的纺织（79.36 亿元）、食品（44.14 亿元）、农业综合（33.68 亿元）、白酒（26.33 亿元）加在一起还不到一成。</w:t>
      </w:r>
    </w:p>
    <w:p w14:paraId="43DEDA69">
      <w:pPr>
        <w:spacing w:before="0" w:after="0" w:line="360" w:lineRule="auto"/>
        <w:ind w:firstLine="480"/>
        <w:jc w:val="both"/>
        <w:rPr>
          <w:color w:val="auto"/>
        </w:rPr>
      </w:pPr>
      <w:r>
        <w:rPr>
          <w:rFonts w:ascii="宋体" w:hAnsi="宋体" w:eastAsia="宋体" w:cs="宋体"/>
          <w:color w:val="auto"/>
          <w:sz w:val="24"/>
          <w:szCs w:val="24"/>
        </w:rPr>
        <w:t>专用机械是唯一为负的，−0.76 亿元。也就是 4 年累计下来，行业整体经营活动没赚回现金。这与专用机械按订单交付、应收账款回款周期较长的经营节奏吻合，一笔大单交付完毕后，往往要 1—2 年才能回款。</w:t>
      </w:r>
    </w:p>
    <w:p w14:paraId="3EE82BE7">
      <w:pPr>
        <w:spacing w:before="0" w:after="0" w:line="360" w:lineRule="auto"/>
        <w:ind w:firstLine="480"/>
        <w:jc w:val="both"/>
        <w:rPr>
          <w:color w:val="auto"/>
        </w:rPr>
      </w:pPr>
      <w:r>
        <w:rPr>
          <w:rFonts w:ascii="宋体" w:hAnsi="宋体" w:eastAsia="宋体" w:cs="宋体"/>
          <w:color w:val="auto"/>
          <w:sz w:val="24"/>
          <w:szCs w:val="24"/>
        </w:rPr>
        <w:t>一个值得提醒的细节：现金流体量大不等于盈利好。汽车整车规模第一，但第 5 章会看到它的平均 ROE 在 9 个行业中垫底；白酒经营现金流仅 26.33 亿元，盈利却比较稳。所以单看这张图就给行业排座次容易出错，需要后面几章配合看。</w:t>
      </w:r>
    </w:p>
    <w:p w14:paraId="7DFC4213">
      <w:pPr>
        <w:pStyle w:val="3"/>
        <w:spacing w:before="320" w:after="200"/>
        <w:jc w:val="left"/>
        <w:rPr>
          <w:color w:val="auto"/>
        </w:rPr>
      </w:pPr>
      <w:bookmarkStart w:id="9" w:name="_Toc13965"/>
      <w:r>
        <w:rPr>
          <w:rFonts w:ascii="黑体" w:hAnsi="黑体" w:eastAsia="黑体" w:cs="黑体"/>
          <w:b/>
          <w:bCs/>
          <w:color w:val="auto"/>
          <w:sz w:val="28"/>
          <w:szCs w:val="28"/>
        </w:rPr>
        <w:t>3.2  全行业自由现金流的年度波动</w:t>
      </w:r>
      <w:bookmarkEnd w:id="9"/>
    </w:p>
    <w:p w14:paraId="3695684B">
      <w:pPr>
        <w:spacing w:before="0" w:after="0" w:line="360" w:lineRule="auto"/>
        <w:ind w:firstLine="480"/>
        <w:jc w:val="both"/>
        <w:rPr>
          <w:color w:val="auto"/>
        </w:rPr>
      </w:pPr>
      <w:r>
        <w:rPr>
          <w:rFonts w:ascii="宋体" w:hAnsi="宋体" w:eastAsia="宋体" w:cs="宋体"/>
          <w:color w:val="auto"/>
          <w:sz w:val="24"/>
          <w:szCs w:val="24"/>
        </w:rPr>
        <w:t>把全样本 4 个年度的自由现金流按年度合计后画成折线，结果见图 3-2。</w:t>
      </w:r>
    </w:p>
    <w:p w14:paraId="59356A0C">
      <w:pPr>
        <w:spacing w:before="120" w:after="80"/>
        <w:jc w:val="center"/>
        <w:rPr>
          <w:color w:val="auto"/>
        </w:rPr>
      </w:pPr>
      <w:r>
        <w:rPr>
          <w:color w:val="auto"/>
        </w:rPr>
        <w:drawing>
          <wp:inline distT="0" distB="0" distL="0" distR="0">
            <wp:extent cx="4381500" cy="2190750"/>
            <wp:effectExtent l="0" t="0" r="0" b="0"/>
            <wp:docPr id="3" name="全行业历年平均自由现金流&amp;&amp;折线图.png" descr="全行业历年平均自由现金流&amp;&amp;折线图.png" title="全行业历年平均自由现金流&amp;&amp;折线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全行业历年平均自由现金流&amp;&amp;折线图.png" descr="全行业历年平均自由现金流&amp;&amp;折线图.png" title="全行业历年平均自由现金流&amp;&amp;折线图.png"/>
                    <pic:cNvPicPr>
                      <a:picLocks noChangeAspect="1" noChangeArrowheads="1"/>
                    </pic:cNvPicPr>
                  </pic:nvPicPr>
                  <pic:blipFill>
                    <a:blip r:embed="rId8"/>
                    <a:srcRect/>
                    <a:stretch>
                      <a:fillRect/>
                    </a:stretch>
                  </pic:blipFill>
                  <pic:spPr>
                    <a:xfrm>
                      <a:off x="0" y="0"/>
                      <a:ext cx="4381500" cy="2190750"/>
                    </a:xfrm>
                    <a:prstGeom prst="rect">
                      <a:avLst/>
                    </a:prstGeom>
                  </pic:spPr>
                </pic:pic>
              </a:graphicData>
            </a:graphic>
          </wp:inline>
        </w:drawing>
      </w:r>
    </w:p>
    <w:p w14:paraId="56FF5B15">
      <w:pPr>
        <w:spacing w:before="60" w:after="120"/>
        <w:jc w:val="center"/>
        <w:rPr>
          <w:color w:val="auto"/>
        </w:rPr>
      </w:pPr>
      <w:r>
        <w:rPr>
          <w:rFonts w:ascii="宋体" w:hAnsi="宋体" w:eastAsia="宋体" w:cs="宋体"/>
          <w:b/>
          <w:bCs/>
          <w:color w:val="auto"/>
          <w:sz w:val="21"/>
          <w:szCs w:val="21"/>
        </w:rPr>
        <w:t>图3-2  全行业历年自由现金流（亿元）</w:t>
      </w:r>
    </w:p>
    <w:p w14:paraId="581052B4">
      <w:pPr>
        <w:spacing w:before="0" w:after="0" w:line="360" w:lineRule="auto"/>
        <w:ind w:firstLine="480"/>
        <w:jc w:val="both"/>
        <w:rPr>
          <w:color w:val="auto"/>
        </w:rPr>
      </w:pPr>
      <w:r>
        <w:rPr>
          <w:rFonts w:ascii="宋体" w:hAnsi="宋体" w:eastAsia="宋体" w:cs="宋体"/>
          <w:color w:val="auto"/>
          <w:sz w:val="24"/>
          <w:szCs w:val="24"/>
        </w:rPr>
        <w:t>折线呈现一个"高—低—高—低"的形状。2020 年是最高的 390.33 亿元；2021 年掉到 −41.30 亿元，转负；2022 年又修复到 323.59 亿元，与 2020 年差不多；2023 年再次大幅下行至 −244.87 亿元，是 4 年里最低的一个。</w:t>
      </w:r>
    </w:p>
    <w:p w14:paraId="5042A381">
      <w:pPr>
        <w:spacing w:before="0" w:after="0" w:line="360" w:lineRule="auto"/>
        <w:ind w:firstLine="480"/>
        <w:jc w:val="both"/>
        <w:rPr>
          <w:color w:val="auto"/>
        </w:rPr>
      </w:pPr>
      <w:r>
        <w:rPr>
          <w:rFonts w:ascii="宋体" w:hAnsi="宋体" w:eastAsia="宋体" w:cs="宋体"/>
          <w:color w:val="auto"/>
          <w:sz w:val="24"/>
          <w:szCs w:val="24"/>
        </w:rPr>
        <w:t>从这条曲线看出两点。一是自由现金流的稳定性比想象中差，4 个年度中有 2 年为负，"账面盈利但现金没到位"的情况在样本里并不少见。二是 2021 与 2023 这两个低点，与企业资本开支扩张、应收账款回款变慢的节奏吻合；后面第 4 章看到的偿债指标走弱、第 5 章 ROE 在 2023 年的下滑，都能对上号。</w:t>
      </w:r>
    </w:p>
    <w:p w14:paraId="2E5D2B75">
      <w:pPr>
        <w:pStyle w:val="3"/>
        <w:spacing w:before="320" w:after="200"/>
        <w:jc w:val="left"/>
        <w:rPr>
          <w:color w:val="auto"/>
        </w:rPr>
      </w:pPr>
      <w:bookmarkStart w:id="10" w:name="_Toc13589"/>
      <w:r>
        <w:rPr>
          <w:rFonts w:ascii="黑体" w:hAnsi="黑体" w:eastAsia="黑体" w:cs="黑体"/>
          <w:b/>
          <w:bCs/>
          <w:color w:val="auto"/>
          <w:sz w:val="28"/>
          <w:szCs w:val="28"/>
        </w:rPr>
        <w:t>3.3  小结</w:t>
      </w:r>
      <w:bookmarkEnd w:id="10"/>
    </w:p>
    <w:p w14:paraId="22BE9BC9">
      <w:pPr>
        <w:spacing w:before="0" w:after="0" w:line="360" w:lineRule="auto"/>
        <w:ind w:firstLine="480"/>
        <w:jc w:val="both"/>
        <w:rPr>
          <w:color w:val="auto"/>
        </w:rPr>
      </w:pPr>
      <w:r>
        <w:rPr>
          <w:rFonts w:ascii="宋体" w:hAnsi="宋体" w:eastAsia="宋体" w:cs="宋体"/>
          <w:color w:val="auto"/>
          <w:sz w:val="24"/>
          <w:szCs w:val="24"/>
        </w:rPr>
        <w:t>本章的两张图主要给出了三个判断：行业之间现金流规模差距很大，汽车整车一家就贡献了过半；全行业自由现金流呈两年一周期的波动，2021、2023 为低谷；专用机械连续 4 年经营造血较弱，需要结合后面几章的负债结构和盈利结构再看。</w:t>
      </w:r>
    </w:p>
    <w:p w14:paraId="09305BE2">
      <w:pPr>
        <w:pStyle w:val="2"/>
        <w:pageBreakBefore/>
        <w:spacing w:before="480" w:after="360"/>
        <w:jc w:val="center"/>
        <w:rPr>
          <w:color w:val="auto"/>
        </w:rPr>
      </w:pPr>
      <w:bookmarkStart w:id="11" w:name="_Toc7202"/>
      <w:r>
        <w:rPr>
          <w:rFonts w:ascii="黑体" w:hAnsi="黑体" w:eastAsia="黑体" w:cs="黑体"/>
          <w:b/>
          <w:bCs/>
          <w:color w:val="auto"/>
          <w:sz w:val="36"/>
          <w:szCs w:val="36"/>
        </w:rPr>
        <w:t>第4章  分析模块二：偿债能力综合分析</w:t>
      </w:r>
      <w:bookmarkEnd w:id="11"/>
    </w:p>
    <w:p w14:paraId="209AE6F0">
      <w:pPr>
        <w:spacing w:before="0" w:after="0" w:line="360" w:lineRule="auto"/>
        <w:ind w:firstLine="480"/>
        <w:jc w:val="both"/>
        <w:rPr>
          <w:color w:val="auto"/>
        </w:rPr>
      </w:pPr>
      <w:r>
        <w:rPr>
          <w:rFonts w:ascii="宋体" w:hAnsi="宋体" w:eastAsia="宋体" w:cs="宋体"/>
          <w:color w:val="auto"/>
          <w:sz w:val="24"/>
          <w:szCs w:val="24"/>
        </w:rPr>
        <w:t>偿债能力是判断企业能不能熬过行业下行的直接指标。本章看两件事：一是按资产负债率排个序，看哪几个行业借得多；二是把流动、速动、现金、资产负债率 4 个指标合到一张雷达图上，看不同行业在长短期偿债结构上的差异。</w:t>
      </w:r>
    </w:p>
    <w:p w14:paraId="70537C2D">
      <w:pPr>
        <w:pStyle w:val="3"/>
        <w:spacing w:before="320" w:after="200"/>
        <w:jc w:val="left"/>
        <w:rPr>
          <w:color w:val="auto"/>
        </w:rPr>
      </w:pPr>
      <w:bookmarkStart w:id="12" w:name="_Toc20225"/>
      <w:r>
        <w:rPr>
          <w:rFonts w:ascii="黑体" w:hAnsi="黑体" w:eastAsia="黑体" w:cs="黑体"/>
          <w:b/>
          <w:bCs/>
          <w:color w:val="auto"/>
          <w:sz w:val="28"/>
          <w:szCs w:val="28"/>
        </w:rPr>
        <w:t>4.1  行业资产负债率排名</w:t>
      </w:r>
      <w:bookmarkEnd w:id="12"/>
    </w:p>
    <w:p w14:paraId="355BFFAE">
      <w:pPr>
        <w:spacing w:before="0" w:after="0" w:line="360" w:lineRule="auto"/>
        <w:ind w:firstLine="480"/>
        <w:jc w:val="both"/>
        <w:rPr>
          <w:color w:val="auto"/>
        </w:rPr>
      </w:pPr>
      <w:r>
        <w:rPr>
          <w:rFonts w:ascii="宋体" w:hAnsi="宋体" w:eastAsia="宋体" w:cs="宋体"/>
          <w:color w:val="auto"/>
          <w:sz w:val="24"/>
          <w:szCs w:val="24"/>
        </w:rPr>
        <w:t>把 9 个行业 2020—2023 年的资产负债率取均值后从高到低排序，见图 4-1。</w:t>
      </w:r>
    </w:p>
    <w:p w14:paraId="50C60B55">
      <w:pPr>
        <w:spacing w:before="120" w:after="80"/>
        <w:jc w:val="center"/>
        <w:rPr>
          <w:color w:val="auto"/>
        </w:rPr>
      </w:pPr>
      <w:r>
        <w:rPr>
          <w:color w:val="auto"/>
        </w:rPr>
        <w:drawing>
          <wp:inline distT="0" distB="0" distL="0" distR="0">
            <wp:extent cx="4381500" cy="2190750"/>
            <wp:effectExtent l="0" t="0" r="0" b="0"/>
            <wp:docPr id="4" name="各行业平均资产负债率&amp;&amp;柱状图.png" descr="各行业平均资产负债率&amp;&amp;柱状图.png" title="各行业平均资产负债率&amp;&amp;柱状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各行业平均资产负债率&amp;&amp;柱状图.png" descr="各行业平均资产负债率&amp;&amp;柱状图.png" title="各行业平均资产负债率&amp;&amp;柱状图.png"/>
                    <pic:cNvPicPr>
                      <a:picLocks noChangeAspect="1" noChangeArrowheads="1"/>
                    </pic:cNvPicPr>
                  </pic:nvPicPr>
                  <pic:blipFill>
                    <a:blip r:embed="rId9"/>
                    <a:srcRect/>
                    <a:stretch>
                      <a:fillRect/>
                    </a:stretch>
                  </pic:blipFill>
                  <pic:spPr>
                    <a:xfrm>
                      <a:off x="0" y="0"/>
                      <a:ext cx="4381500" cy="2190750"/>
                    </a:xfrm>
                    <a:prstGeom prst="rect">
                      <a:avLst/>
                    </a:prstGeom>
                  </pic:spPr>
                </pic:pic>
              </a:graphicData>
            </a:graphic>
          </wp:inline>
        </w:drawing>
      </w:r>
    </w:p>
    <w:p w14:paraId="6C3AAC1E">
      <w:pPr>
        <w:spacing w:before="60" w:after="120"/>
        <w:jc w:val="center"/>
        <w:rPr>
          <w:color w:val="auto"/>
        </w:rPr>
      </w:pPr>
      <w:r>
        <w:rPr>
          <w:rFonts w:ascii="宋体" w:hAnsi="宋体" w:eastAsia="宋体" w:cs="宋体"/>
          <w:b/>
          <w:bCs/>
          <w:color w:val="auto"/>
          <w:sz w:val="21"/>
          <w:szCs w:val="21"/>
        </w:rPr>
        <w:t>图4-1  各行业平均资产负债率（%）</w:t>
      </w:r>
    </w:p>
    <w:p w14:paraId="64A88AD5">
      <w:pPr>
        <w:spacing w:before="0" w:after="0" w:line="360" w:lineRule="auto"/>
        <w:ind w:firstLine="480"/>
        <w:jc w:val="both"/>
        <w:rPr>
          <w:color w:val="auto"/>
        </w:rPr>
      </w:pPr>
      <w:r>
        <w:rPr>
          <w:rFonts w:ascii="宋体" w:hAnsi="宋体" w:eastAsia="宋体" w:cs="宋体"/>
          <w:color w:val="auto"/>
          <w:sz w:val="24"/>
          <w:szCs w:val="24"/>
        </w:rPr>
        <w:t>从图中可以分成三档。最高一档是汽车整车（55.44%）、专用机械（53.79%）和食品（49.62%），资产负债率都在 50% 上下，说明在产能投资和营运资金周转上对借钱依赖比较深。中间一档是化工原料（44.72%）、纺织（40.35%）、农业综合（38.35%），杠杆用得比较克制。最低一档是化学制药（37.16%）、半导体（35.73%）、白酒（32.27%），都低于 40%。</w:t>
      </w:r>
    </w:p>
    <w:p w14:paraId="5CC57F60">
      <w:pPr>
        <w:spacing w:before="0" w:after="0" w:line="360" w:lineRule="auto"/>
        <w:ind w:firstLine="480"/>
        <w:jc w:val="both"/>
        <w:rPr>
          <w:color w:val="auto"/>
        </w:rPr>
      </w:pPr>
      <w:r>
        <w:rPr>
          <w:rFonts w:ascii="宋体" w:hAnsi="宋体" w:eastAsia="宋体" w:cs="宋体"/>
          <w:color w:val="auto"/>
          <w:sz w:val="24"/>
          <w:szCs w:val="24"/>
        </w:rPr>
        <w:t>白酒位列最低，这与行业经营现金流稳、不太需要外部借钱有关；半导体本来是资本密集行业，但样本期内行业股权融资比较多，债务杠杆相对克制；化学制药的低负债与第 5 章将看到的"ROE 全行业第一"形成对照，呈现一种少见的"低杠杆 + 高盈利"组合。</w:t>
      </w:r>
    </w:p>
    <w:p w14:paraId="14D531D6">
      <w:pPr>
        <w:pStyle w:val="3"/>
        <w:spacing w:before="320" w:after="200"/>
        <w:jc w:val="left"/>
        <w:rPr>
          <w:color w:val="auto"/>
        </w:rPr>
      </w:pPr>
      <w:bookmarkStart w:id="13" w:name="_Toc3711"/>
      <w:r>
        <w:rPr>
          <w:rFonts w:ascii="黑体" w:hAnsi="黑体" w:eastAsia="黑体" w:cs="黑体"/>
          <w:b/>
          <w:bCs/>
          <w:color w:val="auto"/>
          <w:sz w:val="28"/>
          <w:szCs w:val="28"/>
        </w:rPr>
        <w:t>4.2  四指标偿债能力雷达对比</w:t>
      </w:r>
      <w:bookmarkEnd w:id="13"/>
    </w:p>
    <w:p w14:paraId="2A15FDC6">
      <w:pPr>
        <w:spacing w:before="0" w:after="0" w:line="360" w:lineRule="auto"/>
        <w:ind w:firstLine="480"/>
        <w:jc w:val="both"/>
        <w:rPr>
          <w:color w:val="auto"/>
        </w:rPr>
      </w:pPr>
      <w:r>
        <w:rPr>
          <w:rFonts w:ascii="宋体" w:hAnsi="宋体" w:eastAsia="宋体" w:cs="宋体"/>
          <w:color w:val="auto"/>
          <w:sz w:val="24"/>
          <w:szCs w:val="24"/>
        </w:rPr>
        <w:t>资产负债率只反映长期负债结构，短期偿债压力还得看流动、速动、现金 3 个比率。本节把这 4 个指标标准化后画在一张雷达图上，向外延伸越多代表该指标越安全，见图 4-2。</w:t>
      </w:r>
    </w:p>
    <w:p w14:paraId="3D807D83">
      <w:pPr>
        <w:spacing w:before="120" w:after="80"/>
        <w:jc w:val="center"/>
        <w:rPr>
          <w:color w:val="auto"/>
        </w:rPr>
      </w:pPr>
      <w:r>
        <w:rPr>
          <w:color w:val="auto"/>
        </w:rPr>
        <w:drawing>
          <wp:inline distT="0" distB="0" distL="0" distR="0">
            <wp:extent cx="4381500" cy="2190750"/>
            <wp:effectExtent l="0" t="0" r="0" b="0"/>
            <wp:docPr id="5" name="行业偿债指标雷达图.png" descr="行业偿债指标雷达图.png" title="行业偿债指标雷达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行业偿债指标雷达图.png" descr="行业偿债指标雷达图.png" title="行业偿债指标雷达图.png"/>
                    <pic:cNvPicPr>
                      <a:picLocks noChangeAspect="1" noChangeArrowheads="1"/>
                    </pic:cNvPicPr>
                  </pic:nvPicPr>
                  <pic:blipFill>
                    <a:blip r:embed="rId10"/>
                    <a:srcRect/>
                    <a:stretch>
                      <a:fillRect/>
                    </a:stretch>
                  </pic:blipFill>
                  <pic:spPr>
                    <a:xfrm>
                      <a:off x="0" y="0"/>
                      <a:ext cx="4381500" cy="2190750"/>
                    </a:xfrm>
                    <a:prstGeom prst="rect">
                      <a:avLst/>
                    </a:prstGeom>
                  </pic:spPr>
                </pic:pic>
              </a:graphicData>
            </a:graphic>
          </wp:inline>
        </w:drawing>
      </w:r>
    </w:p>
    <w:p w14:paraId="374650FA">
      <w:pPr>
        <w:spacing w:before="60" w:after="120"/>
        <w:jc w:val="center"/>
        <w:rPr>
          <w:color w:val="auto"/>
        </w:rPr>
      </w:pPr>
      <w:r>
        <w:rPr>
          <w:rFonts w:ascii="宋体" w:hAnsi="宋体" w:eastAsia="宋体" w:cs="宋体"/>
          <w:b/>
          <w:bCs/>
          <w:color w:val="auto"/>
          <w:sz w:val="21"/>
          <w:szCs w:val="21"/>
        </w:rPr>
        <w:t>图4-2  行业偿债指标雷达图</w:t>
      </w:r>
    </w:p>
    <w:p w14:paraId="2F10553A">
      <w:pPr>
        <w:spacing w:before="0" w:after="0" w:line="360" w:lineRule="auto"/>
        <w:ind w:firstLine="480"/>
        <w:jc w:val="both"/>
        <w:rPr>
          <w:color w:val="auto"/>
        </w:rPr>
      </w:pPr>
      <w:r>
        <w:rPr>
          <w:rFonts w:ascii="宋体" w:hAnsi="宋体" w:eastAsia="宋体" w:cs="宋体"/>
          <w:color w:val="auto"/>
          <w:sz w:val="24"/>
          <w:szCs w:val="24"/>
        </w:rPr>
        <w:t>雷达图整体偏外凸的有半导体、白酒、农业综合、纺织 4 个。半导体流动比率 2.40、速动 1.94、现金比率 1.60，三项都明显高于其他行业；白酒流动比率 2.54，在 9 个行业里最高；农业综合和纺织的流动比率分别是 2.21 和 2.18，都高于"流动比率 ≥ 2"这条经验安全线。这几个行业的短期偿债缓冲垫比较厚，遇到外部冲击不必急着再融资。</w:t>
      </w:r>
    </w:p>
    <w:p w14:paraId="63D0FFAD">
      <w:pPr>
        <w:spacing w:before="0" w:after="0" w:line="360" w:lineRule="auto"/>
        <w:ind w:firstLine="480"/>
        <w:jc w:val="both"/>
        <w:rPr>
          <w:color w:val="auto"/>
        </w:rPr>
      </w:pPr>
      <w:r>
        <w:rPr>
          <w:rFonts w:ascii="宋体" w:hAnsi="宋体" w:eastAsia="宋体" w:cs="宋体"/>
          <w:color w:val="auto"/>
          <w:sz w:val="24"/>
          <w:szCs w:val="24"/>
        </w:rPr>
        <w:t>雷达图偏内收的是化工原料、汽车整车、专用机械、食品 4 个。其中化工原料 4 项指标都垫底——流动比率 1.11、速动 0.86、现金比率 0.64，是当前偿债压力最大的行业。食品的流动比率 1.27、速动 0.93，已经接近警戒线；汽车整车和专用机械资产负债率最高、短期指标也偏弱，长短期偿债压力是一致的。</w:t>
      </w:r>
    </w:p>
    <w:p w14:paraId="208DAD77">
      <w:pPr>
        <w:pStyle w:val="3"/>
        <w:spacing w:before="320" w:after="200"/>
        <w:jc w:val="left"/>
        <w:rPr>
          <w:color w:val="auto"/>
        </w:rPr>
      </w:pPr>
      <w:bookmarkStart w:id="14" w:name="_Toc22303"/>
      <w:r>
        <w:rPr>
          <w:rFonts w:ascii="黑体" w:hAnsi="黑体" w:eastAsia="黑体" w:cs="黑体"/>
          <w:b/>
          <w:bCs/>
          <w:color w:val="auto"/>
          <w:sz w:val="28"/>
          <w:szCs w:val="28"/>
        </w:rPr>
        <w:t>4.3  小结</w:t>
      </w:r>
      <w:bookmarkEnd w:id="14"/>
    </w:p>
    <w:p w14:paraId="42F6C0BF">
      <w:pPr>
        <w:spacing w:before="0" w:after="0" w:line="360" w:lineRule="auto"/>
        <w:ind w:firstLine="480"/>
        <w:jc w:val="both"/>
        <w:rPr>
          <w:color w:val="auto"/>
        </w:rPr>
      </w:pPr>
      <w:r>
        <w:rPr>
          <w:rFonts w:ascii="宋体" w:hAnsi="宋体" w:eastAsia="宋体" w:cs="宋体"/>
          <w:color w:val="auto"/>
          <w:sz w:val="24"/>
          <w:szCs w:val="24"/>
        </w:rPr>
        <w:t>把资产负债率排名和雷达图合起来看，9 个行业可以分成三类。第一类是白酒、半导体、农业综合、化学制药，低负债加高安全垫，财务相对稳。第二类是纺织和化工原料，负债中等，但纺织短期指标更好，化工原料偏弱。第三类是汽车整车、专用机械、食品，高负债加弱安全垫，是后续投资与经营决策中要重点盯的。</w:t>
      </w:r>
    </w:p>
    <w:p w14:paraId="4BD7F34D">
      <w:pPr>
        <w:pStyle w:val="2"/>
        <w:pageBreakBefore/>
        <w:spacing w:before="480" w:after="360"/>
        <w:jc w:val="center"/>
        <w:rPr>
          <w:color w:val="auto"/>
        </w:rPr>
      </w:pPr>
      <w:bookmarkStart w:id="15" w:name="_Toc31142"/>
      <w:r>
        <w:rPr>
          <w:rFonts w:ascii="黑体" w:hAnsi="黑体" w:eastAsia="黑体" w:cs="黑体"/>
          <w:b/>
          <w:bCs/>
          <w:color w:val="auto"/>
          <w:sz w:val="36"/>
          <w:szCs w:val="36"/>
        </w:rPr>
        <w:t>第5章  分析模块三：盈利能力分析</w:t>
      </w:r>
      <w:bookmarkEnd w:id="15"/>
    </w:p>
    <w:p w14:paraId="218D71CE">
      <w:pPr>
        <w:spacing w:before="0" w:after="0" w:line="360" w:lineRule="auto"/>
        <w:ind w:firstLine="480"/>
        <w:jc w:val="both"/>
        <w:rPr>
          <w:color w:val="auto"/>
        </w:rPr>
      </w:pPr>
      <w:r>
        <w:rPr>
          <w:rFonts w:ascii="宋体" w:hAnsi="宋体" w:eastAsia="宋体" w:cs="宋体"/>
          <w:color w:val="auto"/>
          <w:sz w:val="24"/>
          <w:szCs w:val="24"/>
        </w:rPr>
        <w:t>光看偿债指标还不够。一家公司哪怕短期不会爆雷，如果常年不挣钱，财务稳定性也会被慢慢消耗。本章用 ROE 作为盈利能力的代表指标，一方面看横向：哪些行业 ROE 高；另一方面看纵向：哪些行业的 ROE 走得稳。</w:t>
      </w:r>
    </w:p>
    <w:p w14:paraId="075A7074">
      <w:pPr>
        <w:pStyle w:val="3"/>
        <w:spacing w:before="320" w:after="200"/>
        <w:jc w:val="left"/>
        <w:rPr>
          <w:color w:val="auto"/>
        </w:rPr>
      </w:pPr>
      <w:bookmarkStart w:id="16" w:name="_Toc10190"/>
      <w:r>
        <w:rPr>
          <w:rFonts w:ascii="黑体" w:hAnsi="黑体" w:eastAsia="黑体" w:cs="黑体"/>
          <w:b/>
          <w:bCs/>
          <w:color w:val="auto"/>
          <w:sz w:val="28"/>
          <w:szCs w:val="28"/>
        </w:rPr>
        <w:t>5.1  行业平均 ROE 横向对比</w:t>
      </w:r>
      <w:bookmarkEnd w:id="16"/>
    </w:p>
    <w:p w14:paraId="2D0D21FF">
      <w:pPr>
        <w:spacing w:before="0" w:after="0" w:line="360" w:lineRule="auto"/>
        <w:ind w:firstLine="480"/>
        <w:jc w:val="both"/>
        <w:rPr>
          <w:color w:val="auto"/>
        </w:rPr>
      </w:pPr>
      <w:r>
        <w:rPr>
          <w:rFonts w:ascii="宋体" w:hAnsi="宋体" w:eastAsia="宋体" w:cs="宋体"/>
          <w:color w:val="auto"/>
          <w:sz w:val="24"/>
          <w:szCs w:val="24"/>
        </w:rPr>
        <w:t>把 9 个行业 2020—2023 年的 ROE 取均值后从高到低排序，画成水平条形图，见图 5-1。</w:t>
      </w:r>
    </w:p>
    <w:p w14:paraId="0C5B3633">
      <w:pPr>
        <w:spacing w:before="120" w:after="80"/>
        <w:jc w:val="center"/>
        <w:rPr>
          <w:color w:val="auto"/>
        </w:rPr>
      </w:pPr>
      <w:r>
        <w:rPr>
          <w:color w:val="auto"/>
        </w:rPr>
        <w:drawing>
          <wp:inline distT="0" distB="0" distL="0" distR="0">
            <wp:extent cx="4381500" cy="2190750"/>
            <wp:effectExtent l="0" t="0" r="0" b="0"/>
            <wp:docPr id="6" name="各行业平均ROE&amp;&amp;横向条形图.png" descr="各行业平均ROE&amp;&amp;横向条形图.png" title="各行业平均ROE&amp;&amp;横向条形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各行业平均ROE&amp;&amp;横向条形图.png" descr="各行业平均ROE&amp;&amp;横向条形图.png" title="各行业平均ROE&amp;&amp;横向条形图.png"/>
                    <pic:cNvPicPr>
                      <a:picLocks noChangeAspect="1" noChangeArrowheads="1"/>
                    </pic:cNvPicPr>
                  </pic:nvPicPr>
                  <pic:blipFill>
                    <a:blip r:embed="rId11"/>
                    <a:srcRect/>
                    <a:stretch>
                      <a:fillRect/>
                    </a:stretch>
                  </pic:blipFill>
                  <pic:spPr>
                    <a:xfrm>
                      <a:off x="0" y="0"/>
                      <a:ext cx="4381500" cy="2190750"/>
                    </a:xfrm>
                    <a:prstGeom prst="rect">
                      <a:avLst/>
                    </a:prstGeom>
                  </pic:spPr>
                </pic:pic>
              </a:graphicData>
            </a:graphic>
          </wp:inline>
        </w:drawing>
      </w:r>
    </w:p>
    <w:p w14:paraId="2E8A223C">
      <w:pPr>
        <w:spacing w:before="60" w:after="120"/>
        <w:jc w:val="center"/>
        <w:rPr>
          <w:color w:val="auto"/>
        </w:rPr>
      </w:pPr>
      <w:r>
        <w:rPr>
          <w:rFonts w:ascii="宋体" w:hAnsi="宋体" w:eastAsia="宋体" w:cs="宋体"/>
          <w:b/>
          <w:bCs/>
          <w:color w:val="auto"/>
          <w:sz w:val="21"/>
          <w:szCs w:val="21"/>
        </w:rPr>
        <w:t>图5-1  各行业平均 ROE（%）</w:t>
      </w:r>
    </w:p>
    <w:p w14:paraId="2829E778">
      <w:pPr>
        <w:spacing w:before="0" w:after="0" w:line="360" w:lineRule="auto"/>
        <w:ind w:firstLine="480"/>
        <w:jc w:val="both"/>
        <w:rPr>
          <w:color w:val="auto"/>
        </w:rPr>
      </w:pPr>
      <w:r>
        <w:rPr>
          <w:rFonts w:ascii="宋体" w:hAnsi="宋体" w:eastAsia="宋体" w:cs="宋体"/>
          <w:color w:val="auto"/>
          <w:sz w:val="24"/>
          <w:szCs w:val="24"/>
        </w:rPr>
        <w:t>总体看，9 个行业的平均 ROE 在 2%—11% 之间，最大差距 8 个百分点。化学制药 10.43% 排第一，是唯一一个突破 10% 的行业；纺织（8.06%）和农业综合（7.50%）紧随其后。白酒（6.15%）、食品（6.13%）、专用机械（5.90%）三家挨在一起，都在 6% 上下；化工原料（5.18%）和半导体（5.16%）勉强过 5%；汽车整车 2.41% 垫底——这个数字对照其 1 358.87 亿元的现金流体量，对比相当鲜明。</w:t>
      </w:r>
    </w:p>
    <w:p w14:paraId="05E3A143">
      <w:pPr>
        <w:spacing w:before="0" w:after="0" w:line="360" w:lineRule="auto"/>
        <w:ind w:firstLine="480"/>
        <w:jc w:val="both"/>
        <w:rPr>
          <w:color w:val="auto"/>
        </w:rPr>
      </w:pPr>
      <w:r>
        <w:rPr>
          <w:rFonts w:ascii="宋体" w:hAnsi="宋体" w:eastAsia="宋体" w:cs="宋体"/>
          <w:color w:val="auto"/>
          <w:sz w:val="24"/>
          <w:szCs w:val="24"/>
        </w:rPr>
        <w:t>化学制药 ROE 高有两层原因：销售净利率约 9.93%，是 9 个行业里第二高（仅次于农业综合的 10.30%），同时资产负债率只有 37.16%，杠杆并不重，净利率和股东回报之间的转化比较直接。汽车整车则相反，销售规模大但行业进入价格战阶段，销售净利率仅 1.93%，再加上 55.44% 的资产负债率，高杠杆放大了薄利的劣势，最终落在 ROE 排名末尾。</w:t>
      </w:r>
    </w:p>
    <w:p w14:paraId="6454AF4C">
      <w:pPr>
        <w:pStyle w:val="3"/>
        <w:spacing w:before="320" w:after="200"/>
        <w:jc w:val="left"/>
        <w:rPr>
          <w:color w:val="auto"/>
        </w:rPr>
      </w:pPr>
      <w:bookmarkStart w:id="17" w:name="_Toc31564"/>
      <w:r>
        <w:rPr>
          <w:rFonts w:ascii="黑体" w:hAnsi="黑体" w:eastAsia="黑体" w:cs="黑体"/>
          <w:b/>
          <w:bCs/>
          <w:color w:val="auto"/>
          <w:sz w:val="28"/>
          <w:szCs w:val="28"/>
        </w:rPr>
        <w:t>5.2  分行业历年 ROE 趋势</w:t>
      </w:r>
      <w:bookmarkEnd w:id="17"/>
    </w:p>
    <w:p w14:paraId="3FD80137">
      <w:pPr>
        <w:spacing w:before="0" w:after="0" w:line="360" w:lineRule="auto"/>
        <w:ind w:firstLine="480"/>
        <w:jc w:val="both"/>
        <w:rPr>
          <w:color w:val="auto"/>
        </w:rPr>
      </w:pPr>
      <w:r>
        <w:rPr>
          <w:rFonts w:ascii="宋体" w:hAnsi="宋体" w:eastAsia="宋体" w:cs="宋体"/>
          <w:color w:val="auto"/>
          <w:sz w:val="24"/>
          <w:szCs w:val="24"/>
        </w:rPr>
        <w:t>把 9 个行业 4 年的 ROE 画成多折线，可以看出每个行业的稳定性差异，见图 5-2。</w:t>
      </w:r>
    </w:p>
    <w:p w14:paraId="726ECCAD">
      <w:pPr>
        <w:spacing w:before="120" w:after="80"/>
        <w:jc w:val="center"/>
        <w:rPr>
          <w:color w:val="auto"/>
        </w:rPr>
      </w:pPr>
      <w:r>
        <w:rPr>
          <w:color w:val="auto"/>
        </w:rPr>
        <w:drawing>
          <wp:inline distT="0" distB="0" distL="0" distR="0">
            <wp:extent cx="4381500" cy="2190750"/>
            <wp:effectExtent l="0" t="0" r="0" b="0"/>
            <wp:docPr id="7" name="分行业历年 ROE 趋势&amp;&amp;多折线图.png" descr="分行业历年 ROE 趋势&amp;&amp;多折线图.png" title="分行业历年 ROE 趋势&amp;&amp;多折线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分行业历年 ROE 趋势&amp;&amp;多折线图.png" descr="分行业历年 ROE 趋势&amp;&amp;多折线图.png" title="分行业历年 ROE 趋势&amp;&amp;多折线图.png"/>
                    <pic:cNvPicPr>
                      <a:picLocks noChangeAspect="1" noChangeArrowheads="1"/>
                    </pic:cNvPicPr>
                  </pic:nvPicPr>
                  <pic:blipFill>
                    <a:blip r:embed="rId12"/>
                    <a:srcRect/>
                    <a:stretch>
                      <a:fillRect/>
                    </a:stretch>
                  </pic:blipFill>
                  <pic:spPr>
                    <a:xfrm>
                      <a:off x="0" y="0"/>
                      <a:ext cx="4381500" cy="2190750"/>
                    </a:xfrm>
                    <a:prstGeom prst="rect">
                      <a:avLst/>
                    </a:prstGeom>
                  </pic:spPr>
                </pic:pic>
              </a:graphicData>
            </a:graphic>
          </wp:inline>
        </w:drawing>
      </w:r>
    </w:p>
    <w:p w14:paraId="7B4262EA">
      <w:pPr>
        <w:spacing w:before="60" w:after="120"/>
        <w:jc w:val="center"/>
        <w:rPr>
          <w:color w:val="auto"/>
        </w:rPr>
      </w:pPr>
      <w:r>
        <w:rPr>
          <w:rFonts w:ascii="宋体" w:hAnsi="宋体" w:eastAsia="宋体" w:cs="宋体"/>
          <w:b/>
          <w:bCs/>
          <w:color w:val="auto"/>
          <w:sz w:val="21"/>
          <w:szCs w:val="21"/>
        </w:rPr>
        <w:t>图5-2  分行业历年 ROE 趋势（%）</w:t>
      </w:r>
    </w:p>
    <w:p w14:paraId="6315EA9B">
      <w:pPr>
        <w:spacing w:before="0" w:after="0" w:line="360" w:lineRule="auto"/>
        <w:ind w:firstLine="480"/>
        <w:jc w:val="both"/>
        <w:rPr>
          <w:color w:val="auto"/>
        </w:rPr>
      </w:pPr>
      <w:r>
        <w:rPr>
          <w:rFonts w:ascii="宋体" w:hAnsi="宋体" w:eastAsia="宋体" w:cs="宋体"/>
          <w:color w:val="auto"/>
          <w:sz w:val="24"/>
          <w:szCs w:val="24"/>
        </w:rPr>
        <w:t>按曲线形态，9 个行业大致可以归成三类。</w:t>
      </w:r>
    </w:p>
    <w:p w14:paraId="0996F973">
      <w:pPr>
        <w:spacing w:before="0" w:after="0" w:line="360" w:lineRule="auto"/>
        <w:ind w:firstLine="480"/>
        <w:jc w:val="both"/>
        <w:rPr>
          <w:color w:val="auto"/>
        </w:rPr>
      </w:pPr>
      <w:r>
        <w:rPr>
          <w:rFonts w:ascii="黑体" w:hAnsi="黑体" w:eastAsia="黑体" w:cs="黑体"/>
          <w:b/>
          <w:bCs/>
          <w:color w:val="auto"/>
          <w:sz w:val="24"/>
          <w:szCs w:val="24"/>
        </w:rPr>
        <w:t>稳健型：</w:t>
      </w:r>
      <w:r>
        <w:rPr>
          <w:rFonts w:ascii="宋体" w:hAnsi="宋体" w:eastAsia="宋体" w:cs="宋体"/>
          <w:color w:val="auto"/>
          <w:sz w:val="24"/>
          <w:szCs w:val="24"/>
        </w:rPr>
        <w:t>化学制药 4 年 ROE 分别为 10.19%、11.51%、11.08%、8.94%，常年在 9%—11.5% 之间。专用机械 4 年是 4.98%、6.42%、6.48%、5.49%，波动控制在 1.5 个百分点以内，是 9 个行业里最稳的。</w:t>
      </w:r>
    </w:p>
    <w:p w14:paraId="732601B3">
      <w:pPr>
        <w:spacing w:before="0" w:after="0" w:line="360" w:lineRule="auto"/>
        <w:ind w:firstLine="480"/>
        <w:jc w:val="both"/>
        <w:rPr>
          <w:color w:val="auto"/>
        </w:rPr>
      </w:pPr>
      <w:r>
        <w:rPr>
          <w:rFonts w:ascii="黑体" w:hAnsi="黑体" w:eastAsia="黑体" w:cs="黑体"/>
          <w:b/>
          <w:bCs/>
          <w:color w:val="auto"/>
          <w:sz w:val="24"/>
          <w:szCs w:val="24"/>
        </w:rPr>
        <w:t>阶段回升型：</w:t>
      </w:r>
      <w:r>
        <w:rPr>
          <w:rFonts w:ascii="宋体" w:hAnsi="宋体" w:eastAsia="宋体" w:cs="宋体"/>
          <w:color w:val="auto"/>
          <w:sz w:val="24"/>
          <w:szCs w:val="24"/>
        </w:rPr>
        <w:t>白酒 ROE 从 2020 年的 7.49% 回落到 2021 年 4.54%、2022 年 4.98%，2023 年又回升到 7.58%。农业综合 2020—2022 年在 6%—8% 之间，2023 年上行到 9.46%，是当年 ROE 最高的行业。汽车整车 2021 年录得 −3.83% 的负值，之后逐步爬升，2023 年恢复到 5.88%。</w:t>
      </w:r>
    </w:p>
    <w:p w14:paraId="300E6C9F">
      <w:pPr>
        <w:spacing w:before="0" w:after="0" w:line="360" w:lineRule="auto"/>
        <w:ind w:firstLine="480"/>
        <w:jc w:val="both"/>
        <w:rPr>
          <w:color w:val="auto"/>
        </w:rPr>
      </w:pPr>
      <w:r>
        <w:rPr>
          <w:rFonts w:ascii="黑体" w:hAnsi="黑体" w:eastAsia="黑体" w:cs="黑体"/>
          <w:b/>
          <w:bCs/>
          <w:color w:val="auto"/>
          <w:sz w:val="24"/>
          <w:szCs w:val="24"/>
        </w:rPr>
        <w:t>波动较大或转负型：</w:t>
      </w:r>
      <w:r>
        <w:rPr>
          <w:rFonts w:ascii="宋体" w:hAnsi="宋体" w:eastAsia="宋体" w:cs="宋体"/>
          <w:color w:val="auto"/>
          <w:sz w:val="24"/>
          <w:szCs w:val="24"/>
        </w:rPr>
        <w:t>半导体 2020—2022 年从 5.88% 升到 9.51%，2023 年掉到 −2.52% 转负。化工原料 2021—2022 年维持 7%—8%，2023 年滑到 −0.05%。食品 2020 年高达 15.52%，此后逐年回落到 5.95%、1.23%、4.89%。这三个行业的 ROE 标准差都超过 8 个百分点，是盈利稳定性最弱的几家。</w:t>
      </w:r>
    </w:p>
    <w:p w14:paraId="46824E74">
      <w:pPr>
        <w:pStyle w:val="3"/>
        <w:spacing w:before="320" w:after="200"/>
        <w:jc w:val="left"/>
        <w:rPr>
          <w:color w:val="auto"/>
        </w:rPr>
      </w:pPr>
      <w:bookmarkStart w:id="18" w:name="_Toc18784"/>
      <w:r>
        <w:rPr>
          <w:rFonts w:ascii="黑体" w:hAnsi="黑体" w:eastAsia="黑体" w:cs="黑体"/>
          <w:b/>
          <w:bCs/>
          <w:color w:val="auto"/>
          <w:sz w:val="28"/>
          <w:szCs w:val="28"/>
        </w:rPr>
        <w:t>5.3  小结</w:t>
      </w:r>
      <w:bookmarkEnd w:id="18"/>
    </w:p>
    <w:p w14:paraId="7FB34A30">
      <w:pPr>
        <w:spacing w:before="0" w:after="0" w:line="360" w:lineRule="auto"/>
        <w:ind w:firstLine="480"/>
        <w:jc w:val="both"/>
        <w:rPr>
          <w:color w:val="auto"/>
        </w:rPr>
      </w:pPr>
      <w:r>
        <w:rPr>
          <w:rFonts w:ascii="宋体" w:hAnsi="宋体" w:eastAsia="宋体" w:cs="宋体"/>
          <w:color w:val="auto"/>
          <w:sz w:val="24"/>
          <w:szCs w:val="24"/>
        </w:rPr>
        <w:t>横着看，化学制药、纺织、农业综合 ROE 高，汽车整车垫底。竖着看，化学制药、专用机械波动最小；半导体、化工原料、食品波动最大，且 2023 年都出现明显下滑或转负。把横纵两个维度叠加，化学制药"高且稳"，是 9 个行业中盈利质量最好的；汽车整车与半导体则是"低且不稳"，对财务稳定性的拖累比较明显。</w:t>
      </w:r>
    </w:p>
    <w:p w14:paraId="33D02CE4">
      <w:pPr>
        <w:pStyle w:val="2"/>
        <w:pageBreakBefore/>
        <w:spacing w:before="480" w:after="360"/>
        <w:jc w:val="center"/>
        <w:rPr>
          <w:color w:val="auto"/>
        </w:rPr>
      </w:pPr>
      <w:bookmarkStart w:id="19" w:name="_Toc7721"/>
      <w:r>
        <w:rPr>
          <w:rFonts w:ascii="黑体" w:hAnsi="黑体" w:eastAsia="黑体" w:cs="黑体"/>
          <w:b/>
          <w:bCs/>
          <w:color w:val="auto"/>
          <w:sz w:val="36"/>
          <w:szCs w:val="36"/>
        </w:rPr>
        <w:t>第6章  分析模块四：负债与盈利双轴交叉分析</w:t>
      </w:r>
      <w:bookmarkEnd w:id="19"/>
    </w:p>
    <w:p w14:paraId="693C3107">
      <w:pPr>
        <w:spacing w:before="0" w:after="0" w:line="360" w:lineRule="auto"/>
        <w:ind w:firstLine="480"/>
        <w:jc w:val="both"/>
        <w:rPr>
          <w:color w:val="auto"/>
        </w:rPr>
      </w:pPr>
      <w:r>
        <w:rPr>
          <w:rFonts w:ascii="宋体" w:hAnsi="宋体" w:eastAsia="宋体" w:cs="宋体"/>
          <w:color w:val="auto"/>
          <w:sz w:val="24"/>
          <w:szCs w:val="24"/>
        </w:rPr>
        <w:t>前两章把偿债和盈利分开看了。把它们叠在一张图上看才更有意思——同样是高 ROE，是靠净利率高扛起来的，还是靠杠杆放大出来的，风险差别其实很大。本章把销售净利率与资产负债率画到一张双轴图上，把 9 个行业放进四个象限里看。</w:t>
      </w:r>
    </w:p>
    <w:p w14:paraId="71A8FA04">
      <w:pPr>
        <w:pStyle w:val="3"/>
        <w:spacing w:before="320" w:after="200"/>
        <w:jc w:val="left"/>
        <w:rPr>
          <w:color w:val="auto"/>
        </w:rPr>
      </w:pPr>
      <w:bookmarkStart w:id="20" w:name="_Toc22705"/>
      <w:r>
        <w:rPr>
          <w:rFonts w:ascii="黑体" w:hAnsi="黑体" w:eastAsia="黑体" w:cs="黑体"/>
          <w:b/>
          <w:bCs/>
          <w:color w:val="auto"/>
          <w:sz w:val="28"/>
          <w:szCs w:val="28"/>
        </w:rPr>
        <w:t>6.1  双轴组合图分析</w:t>
      </w:r>
      <w:bookmarkEnd w:id="20"/>
    </w:p>
    <w:p w14:paraId="6158E36D">
      <w:pPr>
        <w:spacing w:before="0" w:after="0" w:line="360" w:lineRule="auto"/>
        <w:ind w:firstLine="480"/>
        <w:jc w:val="both"/>
        <w:rPr>
          <w:color w:val="auto"/>
        </w:rPr>
      </w:pPr>
      <w:r>
        <w:rPr>
          <w:rFonts w:ascii="宋体" w:hAnsi="宋体" w:eastAsia="宋体" w:cs="宋体"/>
          <w:color w:val="auto"/>
          <w:sz w:val="24"/>
          <w:szCs w:val="24"/>
        </w:rPr>
        <w:t>销售净利率（左轴，%）和资产负债率（右轴，%）画在同一张图上，结果见图 6-1。</w:t>
      </w:r>
    </w:p>
    <w:p w14:paraId="4040B7B4">
      <w:pPr>
        <w:spacing w:before="120" w:after="80"/>
        <w:jc w:val="center"/>
        <w:rPr>
          <w:color w:val="auto"/>
        </w:rPr>
      </w:pPr>
      <w:r>
        <w:rPr>
          <w:color w:val="auto"/>
        </w:rPr>
        <w:drawing>
          <wp:inline distT="0" distB="0" distL="0" distR="0">
            <wp:extent cx="4381500" cy="2190750"/>
            <wp:effectExtent l="0" t="0" r="0" b="0"/>
            <wp:docPr id="8" name="各行业资产负债率 &amp; 销售净利率 双轴组合图.png" descr="各行业资产负债率 &amp; 销售净利率 双轴组合图.png" title="各行业资产负债率 &amp; 销售净利率 双轴组合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各行业资产负债率 &amp; 销售净利率 双轴组合图.png" descr="各行业资产负债率 &amp; 销售净利率 双轴组合图.png" title="各行业资产负债率 &amp; 销售净利率 双轴组合图.png"/>
                    <pic:cNvPicPr>
                      <a:picLocks noChangeAspect="1" noChangeArrowheads="1"/>
                    </pic:cNvPicPr>
                  </pic:nvPicPr>
                  <pic:blipFill>
                    <a:blip r:embed="rId13"/>
                    <a:srcRect/>
                    <a:stretch>
                      <a:fillRect/>
                    </a:stretch>
                  </pic:blipFill>
                  <pic:spPr>
                    <a:xfrm>
                      <a:off x="0" y="0"/>
                      <a:ext cx="4381500" cy="2190750"/>
                    </a:xfrm>
                    <a:prstGeom prst="rect">
                      <a:avLst/>
                    </a:prstGeom>
                  </pic:spPr>
                </pic:pic>
              </a:graphicData>
            </a:graphic>
          </wp:inline>
        </w:drawing>
      </w:r>
    </w:p>
    <w:p w14:paraId="68546F50">
      <w:pPr>
        <w:spacing w:before="60" w:after="120"/>
        <w:jc w:val="center"/>
        <w:rPr>
          <w:color w:val="auto"/>
        </w:rPr>
      </w:pPr>
      <w:r>
        <w:rPr>
          <w:rFonts w:ascii="宋体" w:hAnsi="宋体" w:eastAsia="宋体" w:cs="宋体"/>
          <w:b/>
          <w:bCs/>
          <w:color w:val="auto"/>
          <w:sz w:val="21"/>
          <w:szCs w:val="21"/>
        </w:rPr>
        <w:t>图6-1  各行业资产负债率与销售净利率双轴组合图</w:t>
      </w:r>
    </w:p>
    <w:p w14:paraId="524CF880">
      <w:pPr>
        <w:spacing w:before="0" w:after="0" w:line="360" w:lineRule="auto"/>
        <w:ind w:firstLine="480"/>
        <w:jc w:val="both"/>
        <w:rPr>
          <w:color w:val="auto"/>
        </w:rPr>
      </w:pPr>
      <w:r>
        <w:rPr>
          <w:rFonts w:ascii="宋体" w:hAnsi="宋体" w:eastAsia="宋体" w:cs="宋体"/>
          <w:color w:val="auto"/>
          <w:sz w:val="24"/>
          <w:szCs w:val="24"/>
        </w:rPr>
        <w:t>以资产负债率 45%、销售净利率 5% 为分界，9 个行业分别落在以下四个象限。</w:t>
      </w:r>
    </w:p>
    <w:p w14:paraId="23698BB9">
      <w:pPr>
        <w:spacing w:before="0" w:after="0" w:line="360" w:lineRule="auto"/>
        <w:ind w:firstLine="480"/>
        <w:jc w:val="both"/>
        <w:rPr>
          <w:color w:val="auto"/>
        </w:rPr>
      </w:pPr>
      <w:r>
        <w:rPr>
          <w:rFonts w:ascii="黑体" w:hAnsi="黑体" w:eastAsia="黑体" w:cs="黑体"/>
          <w:b/>
          <w:bCs/>
          <w:color w:val="auto"/>
          <w:sz w:val="24"/>
          <w:szCs w:val="24"/>
        </w:rPr>
        <w:t>第Ⅰ象限——低负债 + 高净利率：</w:t>
      </w:r>
      <w:r>
        <w:rPr>
          <w:rFonts w:ascii="宋体" w:hAnsi="宋体" w:eastAsia="宋体" w:cs="宋体"/>
          <w:color w:val="auto"/>
          <w:sz w:val="24"/>
          <w:szCs w:val="24"/>
        </w:rPr>
        <w:t>农业综合、化学制药、白酒、纺织 4 个行业落在这里。农业综合销售净利率 10.30%（9 个行业最高）、资产负债率 38.35%；化学制药销售净利率 9.93%、资产负债率 37.16%；白酒销售净利率 6.98%、资产负债率 32.27%（9 个行业中负债率最低）；纺织销售净利率 6.75%、资产负债率 40.35%，靠近这一象限的边缘。这 4 个行业的盈利不靠借钱撑出来，财务上更耐看。</w:t>
      </w:r>
    </w:p>
    <w:p w14:paraId="48CB3779">
      <w:pPr>
        <w:spacing w:before="0" w:after="0" w:line="360" w:lineRule="auto"/>
        <w:ind w:firstLine="480"/>
        <w:jc w:val="both"/>
        <w:rPr>
          <w:color w:val="auto"/>
        </w:rPr>
      </w:pPr>
      <w:r>
        <w:rPr>
          <w:rFonts w:ascii="黑体" w:hAnsi="黑体" w:eastAsia="黑体" w:cs="黑体"/>
          <w:b/>
          <w:bCs/>
          <w:color w:val="auto"/>
          <w:sz w:val="24"/>
          <w:szCs w:val="24"/>
        </w:rPr>
        <w:t>第Ⅱ象限——高负债 + 高净利率：</w:t>
      </w:r>
      <w:r>
        <w:rPr>
          <w:rFonts w:ascii="宋体" w:hAnsi="宋体" w:eastAsia="宋体" w:cs="宋体"/>
          <w:color w:val="auto"/>
          <w:sz w:val="24"/>
          <w:szCs w:val="24"/>
        </w:rPr>
        <w:t>只有专用机械落在这里，资产负债率 53.79%、销售净利率 5.37%。盈利建立在杠杆之上，行业景气向上时弹性大；一旦行业下行，偿债压力会被快速放大，需要持续盯订单与回款节奏。</w:t>
      </w:r>
    </w:p>
    <w:p w14:paraId="5ED10F72">
      <w:pPr>
        <w:spacing w:before="0" w:after="0" w:line="360" w:lineRule="auto"/>
        <w:ind w:firstLine="480"/>
        <w:jc w:val="both"/>
        <w:rPr>
          <w:color w:val="auto"/>
        </w:rPr>
      </w:pPr>
      <w:r>
        <w:rPr>
          <w:rFonts w:ascii="黑体" w:hAnsi="黑体" w:eastAsia="黑体" w:cs="黑体"/>
          <w:b/>
          <w:bCs/>
          <w:color w:val="auto"/>
          <w:sz w:val="24"/>
          <w:szCs w:val="24"/>
        </w:rPr>
        <w:t>第Ⅲ象限——高负债 + 低净利率：</w:t>
      </w:r>
      <w:r>
        <w:rPr>
          <w:rFonts w:ascii="宋体" w:hAnsi="宋体" w:eastAsia="宋体" w:cs="宋体"/>
          <w:color w:val="auto"/>
          <w:sz w:val="24"/>
          <w:szCs w:val="24"/>
        </w:rPr>
        <w:t>汽车整车、食品、化工原料三家落在这里。汽车整车资产负债率 55.44%（最高）、销售净利率 1.93%，高杠杆叠加薄利，安全垫最薄。食品资产负债率 49.62%、销售净利率 −2.10%，是 9 个行业里唯一销售净利率为负的。化工原料资产负债率 44.72%、销售净利率 2.82%，本就偏弱，再叠加 2023 年 ROE 转负的走势，风险有进一步抬升的迹象。</w:t>
      </w:r>
    </w:p>
    <w:p w14:paraId="4386A9A4">
      <w:pPr>
        <w:spacing w:before="0" w:after="0" w:line="360" w:lineRule="auto"/>
        <w:ind w:firstLine="480"/>
        <w:jc w:val="both"/>
        <w:rPr>
          <w:color w:val="auto"/>
        </w:rPr>
      </w:pPr>
      <w:r>
        <w:rPr>
          <w:rFonts w:ascii="黑体" w:hAnsi="黑体" w:eastAsia="黑体" w:cs="黑体"/>
          <w:b/>
          <w:bCs/>
          <w:color w:val="auto"/>
          <w:sz w:val="24"/>
          <w:szCs w:val="24"/>
        </w:rPr>
        <w:t>第Ⅳ象限——低负债 + 低净利率：</w:t>
      </w:r>
      <w:r>
        <w:rPr>
          <w:rFonts w:ascii="宋体" w:hAnsi="宋体" w:eastAsia="宋体" w:cs="宋体"/>
          <w:color w:val="auto"/>
          <w:sz w:val="24"/>
          <w:szCs w:val="24"/>
        </w:rPr>
        <w:t>半导体一家。资产负债率 35.73%（9 个行业中第二低），但销售净利率只有 3.03%。低杠杆把财务风险压住了一半，但盈利能力还得等行业景气修复。</w:t>
      </w:r>
    </w:p>
    <w:p w14:paraId="35A5FE72">
      <w:pPr>
        <w:pStyle w:val="3"/>
        <w:spacing w:before="320" w:after="200"/>
        <w:jc w:val="left"/>
        <w:rPr>
          <w:color w:val="auto"/>
        </w:rPr>
      </w:pPr>
      <w:bookmarkStart w:id="21" w:name="_Toc23714"/>
      <w:r>
        <w:rPr>
          <w:rFonts w:ascii="黑体" w:hAnsi="黑体" w:eastAsia="黑体" w:cs="黑体"/>
          <w:b/>
          <w:bCs/>
          <w:color w:val="auto"/>
          <w:sz w:val="28"/>
          <w:szCs w:val="28"/>
        </w:rPr>
        <w:t>6.2  小结</w:t>
      </w:r>
      <w:bookmarkEnd w:id="21"/>
    </w:p>
    <w:p w14:paraId="4A0EE145">
      <w:pPr>
        <w:spacing w:before="0" w:after="0" w:line="360" w:lineRule="auto"/>
        <w:ind w:firstLine="480"/>
        <w:jc w:val="both"/>
        <w:rPr>
          <w:color w:val="auto"/>
        </w:rPr>
      </w:pPr>
      <w:r>
        <w:rPr>
          <w:rFonts w:ascii="宋体" w:hAnsi="宋体" w:eastAsia="宋体" w:cs="宋体"/>
          <w:color w:val="auto"/>
          <w:sz w:val="24"/>
          <w:szCs w:val="24"/>
        </w:rPr>
        <w:t>把杠杆和盈利交叉到一张图上，9 个行业的风险结构看得更清楚。化学制药、农业综合、白酒、纺织在第Ⅰ象限，攻守兼备。专用机械在第Ⅱ象限，短期表现可以，但杠杆驱动的属性需要警惕。汽车整车、食品、化工原料挤在第Ⅲ象限，是当前财务稳定性最弱的几家。半导体在第Ⅳ象限，要等行业景气修复。本章的分类与第 4、5 章的结论彼此呼应，也是第 8 章建议的直接依据。</w:t>
      </w:r>
    </w:p>
    <w:p w14:paraId="6FB6AEC0">
      <w:pPr>
        <w:pStyle w:val="2"/>
        <w:pageBreakBefore/>
        <w:spacing w:before="480" w:after="360"/>
        <w:jc w:val="center"/>
        <w:rPr>
          <w:color w:val="auto"/>
        </w:rPr>
      </w:pPr>
      <w:bookmarkStart w:id="22" w:name="_Toc23457"/>
      <w:r>
        <w:rPr>
          <w:rFonts w:ascii="黑体" w:hAnsi="黑体" w:eastAsia="黑体" w:cs="黑体"/>
          <w:b/>
          <w:bCs/>
          <w:color w:val="auto"/>
          <w:sz w:val="36"/>
          <w:szCs w:val="36"/>
        </w:rPr>
        <w:t>第7章  分析模块五：重点行业个股深度对比</w:t>
      </w:r>
      <w:bookmarkEnd w:id="22"/>
    </w:p>
    <w:p w14:paraId="4DB5F605">
      <w:pPr>
        <w:spacing w:before="0" w:after="0" w:line="360" w:lineRule="auto"/>
        <w:ind w:firstLine="480"/>
        <w:jc w:val="both"/>
        <w:rPr>
          <w:color w:val="auto"/>
        </w:rPr>
      </w:pPr>
      <w:r>
        <w:rPr>
          <w:rFonts w:ascii="宋体" w:hAnsi="宋体" w:eastAsia="宋体" w:cs="宋体"/>
          <w:color w:val="auto"/>
          <w:sz w:val="24"/>
          <w:szCs w:val="24"/>
        </w:rPr>
        <w:t>前面四章都停在"行业"这一层。但行业里头不同公司差距其实很大，盯着均值容易把龙头和尾部混在一起。本章下沉到公司，挑两个分化最明显的行业：汽车整车是第 6 章里"高负债 + 弱盈利"的代表，看龙头与尾部之间的现金流差距；白酒是"低负债 + 稳定盈利"的代表，看安全行业里有没有暗藏掉队者。</w:t>
      </w:r>
    </w:p>
    <w:p w14:paraId="59A0EF2C">
      <w:pPr>
        <w:pStyle w:val="3"/>
        <w:spacing w:before="320" w:after="200"/>
        <w:jc w:val="left"/>
        <w:rPr>
          <w:color w:val="auto"/>
        </w:rPr>
      </w:pPr>
      <w:bookmarkStart w:id="23" w:name="_Toc3554"/>
      <w:r>
        <w:rPr>
          <w:rFonts w:ascii="黑体" w:hAnsi="黑体" w:eastAsia="黑体" w:cs="黑体"/>
          <w:b/>
          <w:bCs/>
          <w:color w:val="auto"/>
          <w:sz w:val="28"/>
          <w:szCs w:val="28"/>
        </w:rPr>
        <w:t>7.1  汽车整车行业：龙头与尾部公司的现金流分化</w:t>
      </w:r>
      <w:bookmarkEnd w:id="23"/>
    </w:p>
    <w:p w14:paraId="775E7A05">
      <w:pPr>
        <w:spacing w:before="0" w:after="0" w:line="360" w:lineRule="auto"/>
        <w:ind w:firstLine="480"/>
        <w:jc w:val="both"/>
        <w:rPr>
          <w:color w:val="auto"/>
        </w:rPr>
      </w:pPr>
      <w:r>
        <w:rPr>
          <w:rFonts w:ascii="宋体" w:hAnsi="宋体" w:eastAsia="宋体" w:cs="宋体"/>
          <w:color w:val="auto"/>
          <w:sz w:val="24"/>
          <w:szCs w:val="24"/>
        </w:rPr>
        <w:t>挑出上汽集团、东风股份、宇通客车、福田汽车 4 家代表公司，对比 2020—2023 年的经营活动现金流净额，见图 7-1。</w:t>
      </w:r>
    </w:p>
    <w:p w14:paraId="4E09BAE8">
      <w:pPr>
        <w:spacing w:before="120" w:after="80"/>
        <w:jc w:val="center"/>
        <w:rPr>
          <w:color w:val="auto"/>
        </w:rPr>
      </w:pPr>
      <w:r>
        <w:rPr>
          <w:color w:val="auto"/>
        </w:rPr>
        <w:drawing>
          <wp:inline distT="0" distB="0" distL="0" distR="0">
            <wp:extent cx="4381500" cy="2190750"/>
            <wp:effectExtent l="0" t="0" r="0" b="0"/>
            <wp:docPr id="9" name="汽车整车细分行&amp;&amp;个股经营现金流对比.png" descr="汽车整车细分行&amp;&amp;个股经营现金流对比.png" title="汽车整车细分行&amp;&amp;个股经营现金流对比.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汽车整车细分行&amp;&amp;个股经营现金流对比.png" descr="汽车整车细分行&amp;&amp;个股经营现金流对比.png" title="汽车整车细分行&amp;&amp;个股经营现金流对比.png"/>
                    <pic:cNvPicPr>
                      <a:picLocks noChangeAspect="1" noChangeArrowheads="1"/>
                    </pic:cNvPicPr>
                  </pic:nvPicPr>
                  <pic:blipFill>
                    <a:blip r:embed="rId14"/>
                    <a:srcRect/>
                    <a:stretch>
                      <a:fillRect/>
                    </a:stretch>
                  </pic:blipFill>
                  <pic:spPr>
                    <a:xfrm>
                      <a:off x="0" y="0"/>
                      <a:ext cx="4381500" cy="2190750"/>
                    </a:xfrm>
                    <a:prstGeom prst="rect">
                      <a:avLst/>
                    </a:prstGeom>
                  </pic:spPr>
                </pic:pic>
              </a:graphicData>
            </a:graphic>
          </wp:inline>
        </w:drawing>
      </w:r>
    </w:p>
    <w:p w14:paraId="17A7DFFF">
      <w:pPr>
        <w:spacing w:before="60" w:after="120"/>
        <w:jc w:val="center"/>
        <w:rPr>
          <w:color w:val="auto"/>
        </w:rPr>
      </w:pPr>
      <w:r>
        <w:rPr>
          <w:rFonts w:ascii="宋体" w:hAnsi="宋体" w:eastAsia="宋体" w:cs="宋体"/>
          <w:b/>
          <w:bCs/>
          <w:color w:val="auto"/>
          <w:sz w:val="21"/>
          <w:szCs w:val="21"/>
        </w:rPr>
        <w:t>图7-1  汽车整车行业代表公司经营现金流对比（亿元）</w:t>
      </w:r>
    </w:p>
    <w:p w14:paraId="4934ED5B">
      <w:pPr>
        <w:spacing w:before="0" w:after="0" w:line="360" w:lineRule="auto"/>
        <w:ind w:firstLine="480"/>
        <w:jc w:val="both"/>
        <w:rPr>
          <w:color w:val="auto"/>
        </w:rPr>
      </w:pPr>
      <w:r>
        <w:rPr>
          <w:rFonts w:ascii="宋体" w:hAnsi="宋体" w:eastAsia="宋体" w:cs="宋体"/>
          <w:color w:val="auto"/>
          <w:sz w:val="24"/>
          <w:szCs w:val="24"/>
        </w:rPr>
        <w:t>4 家公司之间的差距相当夸张。上汽集团 2020—2023 年的经营现金流分别为 375.18、216.16、95.05、423.34 亿元，4 年都在 90 亿元以上，2023 年还创了 423.34 亿元的高点。宇通客车 4 年是 35.68、7.16、32.54、47.17 亿元，规模不大，但 4 年全为正，与其客车业务相对集中的客户群、回款节奏稳定有关。</w:t>
      </w:r>
    </w:p>
    <w:p w14:paraId="072A2432">
      <w:pPr>
        <w:spacing w:before="0" w:after="0" w:line="360" w:lineRule="auto"/>
        <w:ind w:firstLine="480"/>
        <w:jc w:val="both"/>
        <w:rPr>
          <w:color w:val="auto"/>
        </w:rPr>
      </w:pPr>
      <w:r>
        <w:rPr>
          <w:rFonts w:ascii="宋体" w:hAnsi="宋体" w:eastAsia="宋体" w:cs="宋体"/>
          <w:color w:val="auto"/>
          <w:sz w:val="24"/>
          <w:szCs w:val="24"/>
        </w:rPr>
        <w:t>另两家公司的情况就不一样了。东风股份 4 年的经营现金流是 14.39、9.80、−2.90、−2.66 亿元，从 2022 年起转负且未修复。福田汽车 2020 年还有 86.81 亿元，之后逐年下行，2021—2023 年分别为 7.64、8.70、2.56 亿元，到 2023 年已经接近零。换句话说，汽车整车行业总量第一的桂冠主要由上汽集团一家撑起来——若把上汽集团剔掉，其他 3 家代表公司 4 年累计经营现金流约 249 亿元，只相当于上汽集团 1 109.73 亿元累计值的 22.5%。所以在汽车整车这种内部分化大的行业里，行业均值参考价值有限，配置时更稳妥的做法是优先看龙头公司本身的报表。</w:t>
      </w:r>
    </w:p>
    <w:p w14:paraId="2E0651AC">
      <w:pPr>
        <w:pStyle w:val="3"/>
        <w:spacing w:before="320" w:after="200"/>
        <w:jc w:val="left"/>
        <w:rPr>
          <w:color w:val="auto"/>
        </w:rPr>
      </w:pPr>
      <w:bookmarkStart w:id="24" w:name="_Toc14928"/>
      <w:r>
        <w:rPr>
          <w:rFonts w:ascii="黑体" w:hAnsi="黑体" w:eastAsia="黑体" w:cs="黑体"/>
          <w:b/>
          <w:bCs/>
          <w:color w:val="auto"/>
          <w:sz w:val="28"/>
          <w:szCs w:val="28"/>
        </w:rPr>
        <w:t>7.2  白酒行业：稳健行业内部的盈利与现金流分化</w:t>
      </w:r>
      <w:bookmarkEnd w:id="24"/>
    </w:p>
    <w:p w14:paraId="39A36387">
      <w:pPr>
        <w:spacing w:before="0" w:after="0" w:line="360" w:lineRule="auto"/>
        <w:ind w:firstLine="480"/>
        <w:jc w:val="both"/>
        <w:rPr>
          <w:color w:val="auto"/>
        </w:rPr>
      </w:pPr>
      <w:r>
        <w:rPr>
          <w:rFonts w:ascii="宋体" w:hAnsi="宋体" w:eastAsia="宋体" w:cs="宋体"/>
          <w:color w:val="auto"/>
          <w:sz w:val="24"/>
          <w:szCs w:val="24"/>
        </w:rPr>
        <w:t>挑出伊力特、老白干酒、金种子酒 3 家白酒公司，以 2020—2023 年经营活动现金流（亿元）作为颜色标度，结果见图 7-2。</w:t>
      </w:r>
    </w:p>
    <w:p w14:paraId="1989621B">
      <w:pPr>
        <w:spacing w:before="120" w:after="80"/>
        <w:jc w:val="center"/>
        <w:rPr>
          <w:color w:val="auto"/>
        </w:rPr>
      </w:pPr>
      <w:r>
        <w:rPr>
          <w:color w:val="auto"/>
        </w:rPr>
        <w:drawing>
          <wp:inline distT="0" distB="0" distL="0" distR="0">
            <wp:extent cx="4381500" cy="2190750"/>
            <wp:effectExtent l="0" t="0" r="0" b="0"/>
            <wp:docPr id="10" name="白酒行业个股盈利指标热力图.png" descr="白酒行业个股盈利指标热力图.png" title="白酒行业个股盈利指标热力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白酒行业个股盈利指标热力图.png" descr="白酒行业个股盈利指标热力图.png" title="白酒行业个股盈利指标热力图.png"/>
                    <pic:cNvPicPr>
                      <a:picLocks noChangeAspect="1" noChangeArrowheads="1"/>
                    </pic:cNvPicPr>
                  </pic:nvPicPr>
                  <pic:blipFill>
                    <a:blip r:embed="rId15"/>
                    <a:srcRect/>
                    <a:stretch>
                      <a:fillRect/>
                    </a:stretch>
                  </pic:blipFill>
                  <pic:spPr>
                    <a:xfrm>
                      <a:off x="0" y="0"/>
                      <a:ext cx="4381500" cy="2190750"/>
                    </a:xfrm>
                    <a:prstGeom prst="rect">
                      <a:avLst/>
                    </a:prstGeom>
                  </pic:spPr>
                </pic:pic>
              </a:graphicData>
            </a:graphic>
          </wp:inline>
        </w:drawing>
      </w:r>
    </w:p>
    <w:p w14:paraId="655F69FA">
      <w:pPr>
        <w:spacing w:before="60" w:after="120"/>
        <w:jc w:val="center"/>
        <w:rPr>
          <w:color w:val="auto"/>
        </w:rPr>
      </w:pPr>
      <w:r>
        <w:rPr>
          <w:rFonts w:ascii="宋体" w:hAnsi="宋体" w:eastAsia="宋体" w:cs="宋体"/>
          <w:b/>
          <w:bCs/>
          <w:color w:val="auto"/>
          <w:sz w:val="21"/>
          <w:szCs w:val="21"/>
        </w:rPr>
        <w:t>图7-2  白酒行业代表公司盈利指标热力图（经营活动现金流，亿元）</w:t>
      </w:r>
    </w:p>
    <w:p w14:paraId="11F328C0">
      <w:pPr>
        <w:spacing w:before="0" w:after="0" w:line="360" w:lineRule="auto"/>
        <w:ind w:firstLine="480"/>
        <w:jc w:val="both"/>
        <w:rPr>
          <w:color w:val="auto"/>
        </w:rPr>
      </w:pPr>
      <w:r>
        <w:rPr>
          <w:rFonts w:ascii="宋体" w:hAnsi="宋体" w:eastAsia="宋体" w:cs="宋体"/>
          <w:color w:val="auto"/>
          <w:sz w:val="24"/>
          <w:szCs w:val="24"/>
        </w:rPr>
        <w:t>老白干酒 4 年的经营现金流分别为 5.50、11.26、6.21、7.95 亿元，在三家里持续领先，2021 年还达到 11.26 亿元的高点。伊力特 4 年是 2.76、1.00、−1.50、3.02 亿元，2022 年小幅转负，2023 年又快速恢复，体现出区域性次高端品牌的弹性。</w:t>
      </w:r>
    </w:p>
    <w:p w14:paraId="605F0FC7">
      <w:pPr>
        <w:spacing w:before="0" w:after="0" w:line="360" w:lineRule="auto"/>
        <w:ind w:firstLine="480"/>
        <w:jc w:val="both"/>
        <w:rPr>
          <w:color w:val="auto"/>
        </w:rPr>
      </w:pPr>
      <w:r>
        <w:rPr>
          <w:rFonts w:ascii="宋体" w:hAnsi="宋体" w:eastAsia="宋体" w:cs="宋体"/>
          <w:color w:val="auto"/>
          <w:sz w:val="24"/>
          <w:szCs w:val="24"/>
        </w:rPr>
        <w:t>金种子酒就比较吃力了：2020—2022 年经营现金流分别为 −1.60、−4.56、−4.62 亿元，连续 3 年为负，2023 年才勉强回正到 0.89 亿元。哪怕是白酒这种以稳健著称的行业，内部一样存在"龙头持续扩张—腰部小幅波动—尾部连续承压"的格局。只看行业平均，会得出"白酒整体很稳"的结论；下沉到公司，才知道行业稳不等于每一家都稳。</w:t>
      </w:r>
    </w:p>
    <w:p w14:paraId="25105E1D">
      <w:pPr>
        <w:pStyle w:val="3"/>
        <w:spacing w:before="320" w:after="200"/>
        <w:jc w:val="left"/>
        <w:rPr>
          <w:color w:val="auto"/>
        </w:rPr>
      </w:pPr>
      <w:bookmarkStart w:id="25" w:name="_Toc14497"/>
      <w:r>
        <w:rPr>
          <w:rFonts w:ascii="黑体" w:hAnsi="黑体" w:eastAsia="黑体" w:cs="黑体"/>
          <w:b/>
          <w:bCs/>
          <w:color w:val="auto"/>
          <w:sz w:val="28"/>
          <w:szCs w:val="28"/>
        </w:rPr>
        <w:t>7.3  小结</w:t>
      </w:r>
      <w:bookmarkEnd w:id="25"/>
    </w:p>
    <w:p w14:paraId="0266031C">
      <w:pPr>
        <w:spacing w:before="0" w:after="0" w:line="360" w:lineRule="auto"/>
        <w:ind w:firstLine="480"/>
        <w:jc w:val="both"/>
        <w:rPr>
          <w:color w:val="auto"/>
        </w:rPr>
      </w:pPr>
      <w:r>
        <w:rPr>
          <w:rFonts w:ascii="宋体" w:hAnsi="宋体" w:eastAsia="宋体" w:cs="宋体"/>
          <w:color w:val="auto"/>
          <w:sz w:val="24"/>
          <w:szCs w:val="24"/>
        </w:rPr>
        <w:t>本章下沉到公司，可以得到三点判断。一是不论高风险行业还是稳健行业，行业内部都存在明显的分化，行业均值只是分析的起点。二是在汽车整车这种高分化行业，龙头公司凭规模与议价能力把现金流稳住了，尾部公司则随时可能陷入现金链紧绷。三是在白酒这种相对稳的行业，仍有像金种子酒这样连续多年现金流为负的公司，需要在个股层面进一步筛选。这三点会在第 8 章的个股选择建议里转化为具体的操作准则。</w:t>
      </w:r>
    </w:p>
    <w:p w14:paraId="5372CD1A">
      <w:pPr>
        <w:pStyle w:val="2"/>
        <w:pageBreakBefore/>
        <w:spacing w:before="480" w:after="360"/>
        <w:jc w:val="center"/>
        <w:rPr>
          <w:color w:val="auto"/>
        </w:rPr>
      </w:pPr>
      <w:bookmarkStart w:id="26" w:name="_Toc2892"/>
      <w:r>
        <w:rPr>
          <w:rFonts w:ascii="黑体" w:hAnsi="黑体" w:eastAsia="黑体" w:cs="黑体"/>
          <w:b/>
          <w:bCs/>
          <w:color w:val="auto"/>
          <w:sz w:val="36"/>
          <w:szCs w:val="36"/>
        </w:rPr>
        <w:t>第8章  结论与建议</w:t>
      </w:r>
      <w:bookmarkEnd w:id="26"/>
    </w:p>
    <w:p w14:paraId="0B39120A">
      <w:pPr>
        <w:pStyle w:val="3"/>
        <w:spacing w:before="320" w:after="200"/>
        <w:jc w:val="left"/>
        <w:rPr>
          <w:color w:val="auto"/>
        </w:rPr>
      </w:pPr>
      <w:bookmarkStart w:id="27" w:name="_Toc24866"/>
      <w:r>
        <w:rPr>
          <w:rFonts w:ascii="黑体" w:hAnsi="黑体" w:eastAsia="黑体" w:cs="黑体"/>
          <w:b/>
          <w:bCs/>
          <w:color w:val="auto"/>
          <w:sz w:val="28"/>
          <w:szCs w:val="28"/>
        </w:rPr>
        <w:t>8.1  分析结论</w:t>
      </w:r>
      <w:bookmarkEnd w:id="27"/>
    </w:p>
    <w:p w14:paraId="68B036B3">
      <w:pPr>
        <w:spacing w:before="0" w:after="0" w:line="360" w:lineRule="auto"/>
        <w:ind w:firstLine="480"/>
        <w:jc w:val="both"/>
        <w:rPr>
          <w:color w:val="auto"/>
        </w:rPr>
      </w:pPr>
      <w:r>
        <w:rPr>
          <w:rFonts w:ascii="宋体" w:hAnsi="宋体" w:eastAsia="宋体" w:cs="宋体"/>
          <w:color w:val="auto"/>
          <w:sz w:val="24"/>
          <w:szCs w:val="24"/>
        </w:rPr>
        <w:t>把第 3—7 章的图表读完，可以归纳出五条主要结论。</w:t>
      </w:r>
    </w:p>
    <w:p w14:paraId="3C31655E">
      <w:pPr>
        <w:spacing w:before="0" w:after="0" w:line="360" w:lineRule="auto"/>
        <w:ind w:firstLine="480"/>
        <w:jc w:val="both"/>
        <w:rPr>
          <w:color w:val="auto"/>
        </w:rPr>
      </w:pPr>
      <w:r>
        <w:rPr>
          <w:rFonts w:ascii="黑体" w:hAnsi="黑体" w:eastAsia="黑体" w:cs="黑体"/>
          <w:b/>
          <w:bCs/>
          <w:color w:val="auto"/>
          <w:sz w:val="24"/>
          <w:szCs w:val="24"/>
        </w:rPr>
        <w:t>结论一  经营现金流的行业差距很大，少数行业贡献了大部分规模。</w:t>
      </w:r>
      <w:r>
        <w:rPr>
          <w:rFonts w:ascii="宋体" w:hAnsi="宋体" w:eastAsia="宋体" w:cs="宋体"/>
          <w:color w:val="auto"/>
          <w:sz w:val="24"/>
          <w:szCs w:val="24"/>
        </w:rPr>
        <w:t>汽车整车 4 年经营现金流合计 1 358.87 亿元，约占 9 个行业总规模的六成；化学制药（319.58 亿元）、半导体（241.12 亿元）、化工原料（175.61 亿元）三家合起来约占三成；其余行业加起来不足一成。专用机械 4 年合计为 −0.76 亿元，是唯一 4 年合计为负的行业。</w:t>
      </w:r>
    </w:p>
    <w:p w14:paraId="157028DA">
      <w:pPr>
        <w:spacing w:before="0" w:after="0" w:line="360" w:lineRule="auto"/>
        <w:ind w:firstLine="480"/>
        <w:jc w:val="both"/>
        <w:rPr>
          <w:color w:val="auto"/>
        </w:rPr>
      </w:pPr>
      <w:r>
        <w:rPr>
          <w:rFonts w:ascii="黑体" w:hAnsi="黑体" w:eastAsia="黑体" w:cs="黑体"/>
          <w:b/>
          <w:bCs/>
          <w:color w:val="auto"/>
          <w:sz w:val="24"/>
          <w:szCs w:val="24"/>
        </w:rPr>
        <w:t>结论二  全行业自由现金流两年一周期，2021 与 2023 是低谷。</w:t>
      </w:r>
      <w:r>
        <w:rPr>
          <w:rFonts w:ascii="宋体" w:hAnsi="宋体" w:eastAsia="宋体" w:cs="宋体"/>
          <w:color w:val="auto"/>
          <w:sz w:val="24"/>
          <w:szCs w:val="24"/>
        </w:rPr>
        <w:t>2020 年合计 390.33 亿元，2021 年掉到 −41.30 亿元，2022 年修复到 323.59 亿元，2023 年又下行到 −244.87 亿元。4 个年度中有 2 年为负，行业整体的现金生成对外部环境比较敏感。</w:t>
      </w:r>
    </w:p>
    <w:p w14:paraId="6D613AE4">
      <w:pPr>
        <w:spacing w:before="0" w:after="0" w:line="360" w:lineRule="auto"/>
        <w:ind w:firstLine="480"/>
        <w:jc w:val="both"/>
        <w:rPr>
          <w:color w:val="auto"/>
        </w:rPr>
      </w:pPr>
      <w:r>
        <w:rPr>
          <w:rFonts w:ascii="黑体" w:hAnsi="黑体" w:eastAsia="黑体" w:cs="黑体"/>
          <w:b/>
          <w:bCs/>
          <w:color w:val="auto"/>
          <w:sz w:val="24"/>
          <w:szCs w:val="24"/>
        </w:rPr>
        <w:t>结论三  资产负债率与短期偿债指标分成两端。</w:t>
      </w:r>
      <w:r>
        <w:rPr>
          <w:rFonts w:ascii="宋体" w:hAnsi="宋体" w:eastAsia="宋体" w:cs="宋体"/>
          <w:color w:val="auto"/>
          <w:sz w:val="24"/>
          <w:szCs w:val="24"/>
        </w:rPr>
        <w:t>汽车整车（55.44%）、专用机械（53.79%）、食品（49.62%）位列资产负债率前三；白酒（32.27%）、半导体（35.73%）、化学制药（37.16%）、农业综合（38.35%）位列最低。雷达图中半导体、白酒、农业综合、纺织 4 个行业短期偿债指标外凸，化工原料、食品、汽车整车、专用机械内收。化工原料 4 项偿债指标都垫底，是当前偿债压力最大的行业。</w:t>
      </w:r>
    </w:p>
    <w:p w14:paraId="6C8DD0B6">
      <w:pPr>
        <w:spacing w:before="0" w:after="0" w:line="360" w:lineRule="auto"/>
        <w:ind w:firstLine="480"/>
        <w:jc w:val="both"/>
        <w:rPr>
          <w:color w:val="auto"/>
        </w:rPr>
      </w:pPr>
      <w:r>
        <w:rPr>
          <w:rFonts w:ascii="黑体" w:hAnsi="黑体" w:eastAsia="黑体" w:cs="黑体"/>
          <w:b/>
          <w:bCs/>
          <w:color w:val="auto"/>
          <w:sz w:val="24"/>
          <w:szCs w:val="24"/>
        </w:rPr>
        <w:t>结论四  化学制药 ROE 领跑，汽车整车垫底。</w:t>
      </w:r>
      <w:r>
        <w:rPr>
          <w:rFonts w:ascii="宋体" w:hAnsi="宋体" w:eastAsia="宋体" w:cs="宋体"/>
          <w:color w:val="auto"/>
          <w:sz w:val="24"/>
          <w:szCs w:val="24"/>
        </w:rPr>
        <w:t>化学制药 4 年平均 ROE 为 10.43%，是 9 个行业中唯一突破 10% 的；纺织（8.06%）、农业综合（7.50%）排在二、三位；汽车整车 4 年平均 ROE 仅 2.41%，2021 年还录得 −3.83% 的负值；半导体、化工原料 2023 年分别录得 −2.52%、−0.05%。把横纵两个维度合在一起，化学制药"高且稳"，汽车整车与半导体"低且不稳"。</w:t>
      </w:r>
    </w:p>
    <w:p w14:paraId="2B3EAA9D">
      <w:pPr>
        <w:spacing w:before="0" w:after="0" w:line="360" w:lineRule="auto"/>
        <w:ind w:firstLine="480"/>
        <w:jc w:val="both"/>
        <w:rPr>
          <w:color w:val="auto"/>
        </w:rPr>
      </w:pPr>
      <w:r>
        <w:rPr>
          <w:rFonts w:ascii="黑体" w:hAnsi="黑体" w:eastAsia="黑体" w:cs="黑体"/>
          <w:b/>
          <w:bCs/>
          <w:color w:val="auto"/>
          <w:sz w:val="24"/>
          <w:szCs w:val="24"/>
        </w:rPr>
        <w:t>结论五  行业内部分化明显，龙头与尾部差距很大。</w:t>
      </w:r>
      <w:r>
        <w:rPr>
          <w:rFonts w:ascii="宋体" w:hAnsi="宋体" w:eastAsia="宋体" w:cs="宋体"/>
          <w:color w:val="auto"/>
          <w:sz w:val="24"/>
          <w:szCs w:val="24"/>
        </w:rPr>
        <w:t>汽车整车行业上汽集团 4 年经营现金流分别为 375.18、216.16、95.05、423.34 亿元，4 年累计 1 109.73 亿元；东风股份 2022—2023 年连续转负，福田汽车由 86.81 亿元降到 2.56 亿元。白酒行业老白干酒 4 年经营现金流稳定在 5—12 亿元，金种子酒 2020—2022 连续 3 年为负。只看行业均值会漏掉大量公司层面的真实风险，配置高分化行业时优先看龙头。</w:t>
      </w:r>
    </w:p>
    <w:p w14:paraId="62939FF9">
      <w:pPr>
        <w:pStyle w:val="3"/>
        <w:spacing w:before="320" w:after="200"/>
        <w:jc w:val="left"/>
        <w:rPr>
          <w:color w:val="auto"/>
        </w:rPr>
      </w:pPr>
      <w:bookmarkStart w:id="28" w:name="_Toc4621"/>
      <w:r>
        <w:rPr>
          <w:rFonts w:ascii="黑体" w:hAnsi="黑体" w:eastAsia="黑体" w:cs="黑体"/>
          <w:b/>
          <w:bCs/>
          <w:color w:val="auto"/>
          <w:sz w:val="28"/>
          <w:szCs w:val="28"/>
        </w:rPr>
        <w:t>8.2  分析建议</w:t>
      </w:r>
      <w:bookmarkEnd w:id="28"/>
    </w:p>
    <w:p w14:paraId="2586C97D">
      <w:pPr>
        <w:spacing w:before="0" w:after="0" w:line="360" w:lineRule="auto"/>
        <w:ind w:firstLine="480"/>
        <w:jc w:val="both"/>
        <w:rPr>
          <w:color w:val="auto"/>
        </w:rPr>
      </w:pPr>
      <w:r>
        <w:rPr>
          <w:rFonts w:ascii="宋体" w:hAnsi="宋体" w:eastAsia="宋体" w:cs="宋体"/>
          <w:color w:val="auto"/>
          <w:sz w:val="24"/>
          <w:szCs w:val="24"/>
        </w:rPr>
        <w:t>基于上述五条结论，从行业配置、个股选择、财务风控、周期节奏 4 个角度给出一些建议，供投资者、企业管理者及对相关行业感兴趣的读者参考。</w:t>
      </w:r>
    </w:p>
    <w:p w14:paraId="17429801">
      <w:pPr>
        <w:pStyle w:val="4"/>
        <w:spacing w:before="240" w:after="120"/>
        <w:jc w:val="left"/>
        <w:rPr>
          <w:color w:val="auto"/>
        </w:rPr>
      </w:pPr>
      <w:bookmarkStart w:id="29" w:name="_Toc21557"/>
      <w:r>
        <w:rPr>
          <w:rFonts w:ascii="黑体" w:hAnsi="黑体" w:eastAsia="黑体" w:cs="黑体"/>
          <w:b/>
          <w:bCs/>
          <w:color w:val="auto"/>
          <w:sz w:val="24"/>
          <w:szCs w:val="24"/>
        </w:rPr>
        <w:t>8.2.1  行业配置建议</w:t>
      </w:r>
      <w:bookmarkEnd w:id="29"/>
    </w:p>
    <w:p w14:paraId="3D8CF9A4">
      <w:pPr>
        <w:spacing w:before="0" w:after="0" w:line="360" w:lineRule="auto"/>
        <w:ind w:firstLine="480"/>
        <w:jc w:val="both"/>
        <w:rPr>
          <w:color w:val="auto"/>
        </w:rPr>
      </w:pPr>
      <w:r>
        <w:rPr>
          <w:rFonts w:ascii="宋体" w:hAnsi="宋体" w:eastAsia="宋体" w:cs="宋体"/>
          <w:color w:val="auto"/>
          <w:sz w:val="24"/>
          <w:szCs w:val="24"/>
        </w:rPr>
        <w:t>把财务稳定性作为优先目标的组合，可以分三档来配。稳健底仓放化学制药、农业综合、白酒、纺织，这 4 个行业低杠杆、净利率不低、短期偿债也安全。汽车整车、专用机械、食品在缺乏行业景气信号前应该控制仓位，高杠杆叠加薄利或弱现金流，下行时容易放大风险。化工原料和半导体宜先观望——化工原料 4 项偿债指标垫底、2023 年 ROE 转负，半导体销售净利率仅 3.03%、2023 年 ROE 也转负，等行业景气出现拐点再布局更稳妥。</w:t>
      </w:r>
    </w:p>
    <w:p w14:paraId="73EFF28A">
      <w:pPr>
        <w:pStyle w:val="4"/>
        <w:spacing w:before="240" w:after="120"/>
        <w:jc w:val="left"/>
        <w:rPr>
          <w:color w:val="auto"/>
        </w:rPr>
      </w:pPr>
      <w:bookmarkStart w:id="30" w:name="_Toc2675"/>
      <w:r>
        <w:rPr>
          <w:rFonts w:ascii="黑体" w:hAnsi="黑体" w:eastAsia="黑体" w:cs="黑体"/>
          <w:b/>
          <w:bCs/>
          <w:color w:val="auto"/>
          <w:sz w:val="24"/>
          <w:szCs w:val="24"/>
        </w:rPr>
        <w:t>8.2.2  个股选择建议</w:t>
      </w:r>
      <w:bookmarkEnd w:id="30"/>
    </w:p>
    <w:p w14:paraId="1D2A46A6">
      <w:pPr>
        <w:spacing w:before="0" w:after="0" w:line="360" w:lineRule="auto"/>
        <w:ind w:firstLine="480"/>
        <w:jc w:val="both"/>
        <w:rPr>
          <w:color w:val="auto"/>
        </w:rPr>
      </w:pPr>
      <w:r>
        <w:rPr>
          <w:rFonts w:ascii="宋体" w:hAnsi="宋体" w:eastAsia="宋体" w:cs="宋体"/>
          <w:color w:val="auto"/>
          <w:sz w:val="24"/>
          <w:szCs w:val="24"/>
        </w:rPr>
        <w:t>在选定行业之后，再用三条标准过一遍公司。一是同行业内优先看龙头，避开常年经营现金流为负、ROE 连续下行的尾部公司。二是优选盈利稳、经营现金流持续为正、负债率可控的公司，哪怕短期不够性感，但下行周期里更耐看。三是对高分化行业（汽车整车、白酒等）的标的，要单独审视每家公司的现金流持续性、资产负债率、ROE 稳定性三项指标，不能只看行业均值。第 7 章里的上汽集团（汽车整车现金流稳健龙头）、老白干酒（白酒行业现金流领先）是这一原则的具体例子。</w:t>
      </w:r>
    </w:p>
    <w:p w14:paraId="679FA2C1">
      <w:pPr>
        <w:pStyle w:val="4"/>
        <w:spacing w:before="240" w:after="120"/>
        <w:jc w:val="left"/>
        <w:rPr>
          <w:color w:val="auto"/>
        </w:rPr>
      </w:pPr>
      <w:bookmarkStart w:id="31" w:name="_Toc16194"/>
      <w:r>
        <w:rPr>
          <w:rFonts w:ascii="黑体" w:hAnsi="黑体" w:eastAsia="黑体" w:cs="黑体"/>
          <w:b/>
          <w:bCs/>
          <w:color w:val="auto"/>
          <w:sz w:val="24"/>
          <w:szCs w:val="24"/>
        </w:rPr>
        <w:t>8.2.3  财务风控建议</w:t>
      </w:r>
      <w:bookmarkEnd w:id="31"/>
    </w:p>
    <w:p w14:paraId="275524CE">
      <w:pPr>
        <w:spacing w:before="0" w:after="0" w:line="360" w:lineRule="auto"/>
        <w:ind w:firstLine="480"/>
        <w:jc w:val="both"/>
        <w:rPr>
          <w:color w:val="auto"/>
        </w:rPr>
      </w:pPr>
      <w:r>
        <w:rPr>
          <w:rFonts w:ascii="宋体" w:hAnsi="宋体" w:eastAsia="宋体" w:cs="宋体"/>
          <w:color w:val="auto"/>
          <w:sz w:val="24"/>
          <w:szCs w:val="24"/>
        </w:rPr>
        <w:t>对企业管理者而言，本研究里能直接拿来用的有三条。高负债行业（汽车整车、专用机械、食品）需要控制有息负债比例、优化债务期限结构，尽量减少短贷长投这种期限错配。现金流波动较大的行业（化工原料、专用机械、食品）应加强应收账款催收、合理排资本开支节奏，把跨周期的现金流波动平滑下来。弱盈利行业（汽车整车、食品）则要从供应链、产品结构、运营效率三方面入手提升销售净利率与资产周转率，盈利质量不上来，再多的财技也只是拖延问题。</w:t>
      </w:r>
    </w:p>
    <w:p w14:paraId="05B39881">
      <w:pPr>
        <w:pStyle w:val="4"/>
        <w:spacing w:before="240" w:after="120"/>
        <w:jc w:val="left"/>
        <w:rPr>
          <w:color w:val="auto"/>
        </w:rPr>
      </w:pPr>
      <w:bookmarkStart w:id="32" w:name="_Toc28970"/>
      <w:r>
        <w:rPr>
          <w:rFonts w:ascii="黑体" w:hAnsi="黑体" w:eastAsia="黑体" w:cs="黑体"/>
          <w:b/>
          <w:bCs/>
          <w:color w:val="auto"/>
          <w:sz w:val="24"/>
          <w:szCs w:val="24"/>
        </w:rPr>
        <w:t>8.2.4  周期节奏建议</w:t>
      </w:r>
      <w:bookmarkEnd w:id="32"/>
    </w:p>
    <w:p w14:paraId="1262F975">
      <w:pPr>
        <w:spacing w:before="0" w:after="0" w:line="360" w:lineRule="auto"/>
        <w:ind w:firstLine="480"/>
        <w:jc w:val="both"/>
        <w:rPr>
          <w:color w:val="auto"/>
        </w:rPr>
      </w:pPr>
      <w:r>
        <w:rPr>
          <w:rFonts w:ascii="宋体" w:hAnsi="宋体" w:eastAsia="宋体" w:cs="宋体"/>
          <w:color w:val="auto"/>
          <w:sz w:val="24"/>
          <w:szCs w:val="24"/>
        </w:rPr>
        <w:t>全行业自由现金流两年一周期的节奏，可以作为动态调整行业配置的参考。2021、2023 这种现金流低谷年份，应主动避开高弹性、强周期行业，把仓位往白酒、农业综合、化学制药这类防御赛道集中；2020、2022 这种修复年份，可以适度增配半导体、化工原料等盈利弹性大的成长板块。同时建议日常监控两个指标：全行业自由现金流的同比变化，以及行业平均经营现金流量比率，把它们纳入投资组合的动态监控体系。</w:t>
      </w:r>
    </w:p>
    <w:p w14:paraId="63655ABE">
      <w:pPr>
        <w:pStyle w:val="2"/>
        <w:pageBreakBefore/>
        <w:spacing w:before="480" w:after="360"/>
        <w:jc w:val="center"/>
        <w:rPr>
          <w:color w:val="auto"/>
        </w:rPr>
      </w:pPr>
      <w:bookmarkStart w:id="33" w:name="_Toc9636"/>
      <w:r>
        <w:rPr>
          <w:rFonts w:ascii="黑体" w:hAnsi="黑体" w:eastAsia="黑体" w:cs="黑体"/>
          <w:b/>
          <w:bCs/>
          <w:color w:val="auto"/>
          <w:sz w:val="36"/>
          <w:szCs w:val="36"/>
        </w:rPr>
        <w:t>参考文献</w:t>
      </w:r>
      <w:bookmarkEnd w:id="33"/>
    </w:p>
    <w:p w14:paraId="1A8B7A3C">
      <w:pPr>
        <w:spacing w:before="60" w:after="60" w:line="320" w:lineRule="auto"/>
        <w:ind w:left="480" w:hanging="480"/>
        <w:jc w:val="both"/>
        <w:rPr>
          <w:color w:val="auto"/>
        </w:rPr>
      </w:pPr>
      <w:r>
        <w:rPr>
          <w:rFonts w:ascii="宋体" w:hAnsi="宋体" w:eastAsia="宋体" w:cs="宋体"/>
          <w:color w:val="auto"/>
          <w:sz w:val="22"/>
          <w:szCs w:val="22"/>
        </w:rPr>
        <w:t>[1] JENSEN M C. Agency costs of free cash flow, corporate finance, and takeovers[J]. The American Economic Review, 1986, 76(2): 323-329.</w:t>
      </w:r>
    </w:p>
    <w:p w14:paraId="02DE474A">
      <w:pPr>
        <w:spacing w:before="60" w:after="60" w:line="320" w:lineRule="auto"/>
        <w:ind w:left="480" w:hanging="480"/>
        <w:jc w:val="both"/>
        <w:rPr>
          <w:color w:val="auto"/>
        </w:rPr>
      </w:pPr>
      <w:r>
        <w:rPr>
          <w:rFonts w:ascii="宋体" w:hAnsi="宋体" w:eastAsia="宋体" w:cs="宋体"/>
          <w:color w:val="auto"/>
          <w:sz w:val="22"/>
          <w:szCs w:val="22"/>
        </w:rPr>
        <w:t>[2] DECHOW P M, SKINNER D J. Earnings management: reconciling the views of accounting academics, practitioners, and regulators[J]. Accounting Horizons, 2000, 14(2): 235-250.</w:t>
      </w:r>
    </w:p>
    <w:p w14:paraId="5B53BAD4">
      <w:pPr>
        <w:spacing w:before="60" w:after="60" w:line="320" w:lineRule="auto"/>
        <w:ind w:left="480" w:hanging="480"/>
        <w:jc w:val="both"/>
        <w:rPr>
          <w:color w:val="auto"/>
        </w:rPr>
      </w:pPr>
      <w:r>
        <w:rPr>
          <w:rFonts w:ascii="宋体" w:hAnsi="宋体" w:eastAsia="宋体" w:cs="宋体"/>
          <w:color w:val="auto"/>
          <w:sz w:val="22"/>
          <w:szCs w:val="22"/>
        </w:rPr>
        <w:t>[3] ALMEIDA H, CAMPELLO M, WEISBACH M S. The cash flow sensitivity of cash[J]. The Journal of Finance, 2004, 59(4): 1777-1804.</w:t>
      </w:r>
    </w:p>
    <w:p w14:paraId="1117BF2C">
      <w:pPr>
        <w:spacing w:before="60" w:after="60" w:line="320" w:lineRule="auto"/>
        <w:ind w:left="480" w:hanging="480"/>
        <w:jc w:val="both"/>
        <w:rPr>
          <w:color w:val="auto"/>
        </w:rPr>
      </w:pPr>
      <w:r>
        <w:rPr>
          <w:rFonts w:ascii="宋体" w:hAnsi="宋体" w:eastAsia="宋体" w:cs="宋体"/>
          <w:color w:val="auto"/>
          <w:sz w:val="22"/>
          <w:szCs w:val="22"/>
        </w:rPr>
        <w:t>[4] 屈耀辉, 傅元略. 优序融资理论的中国上市公司数据验证——兼对修正的优序融资理论的验证[J]. 财经研究, 2007, 33(2): 108-118.</w:t>
      </w:r>
    </w:p>
    <w:p w14:paraId="15A7CC7F">
      <w:pPr>
        <w:spacing w:before="60" w:after="60" w:line="320" w:lineRule="auto"/>
        <w:ind w:left="480" w:hanging="480"/>
        <w:jc w:val="both"/>
        <w:rPr>
          <w:color w:val="auto"/>
        </w:rPr>
      </w:pPr>
      <w:r>
        <w:rPr>
          <w:rFonts w:ascii="宋体" w:hAnsi="宋体" w:eastAsia="宋体" w:cs="宋体"/>
          <w:color w:val="auto"/>
          <w:sz w:val="22"/>
          <w:szCs w:val="22"/>
        </w:rPr>
        <w:t>[5] 张铁铸. 现金流波动性、融资约束与企业现金持有[J]. 财经研究, 2010, 36(7): 89-99.</w:t>
      </w:r>
    </w:p>
    <w:p w14:paraId="78FE2BFD">
      <w:pPr>
        <w:spacing w:before="60" w:after="60" w:line="320" w:lineRule="auto"/>
        <w:ind w:left="480" w:hanging="480"/>
        <w:jc w:val="both"/>
        <w:rPr>
          <w:color w:val="auto"/>
        </w:rPr>
      </w:pPr>
      <w:r>
        <w:rPr>
          <w:rFonts w:ascii="宋体" w:hAnsi="宋体" w:eastAsia="宋体" w:cs="宋体"/>
          <w:color w:val="auto"/>
          <w:sz w:val="22"/>
          <w:szCs w:val="22"/>
        </w:rPr>
        <w:t>[6] 王化成, 曹丰, 叶康涛. 监督还是掏空: 大股东持股比例与股价崩盘风险[J]. 管理世界, 2018, 34(8): 157-171.</w:t>
      </w:r>
    </w:p>
    <w:p w14:paraId="11E34267">
      <w:pPr>
        <w:spacing w:before="60" w:after="60" w:line="320" w:lineRule="auto"/>
        <w:ind w:left="480" w:hanging="480"/>
        <w:jc w:val="both"/>
        <w:rPr>
          <w:color w:val="auto"/>
        </w:rPr>
      </w:pPr>
      <w:r>
        <w:rPr>
          <w:rFonts w:ascii="宋体" w:hAnsi="宋体" w:eastAsia="宋体" w:cs="宋体"/>
          <w:color w:val="auto"/>
          <w:sz w:val="22"/>
          <w:szCs w:val="22"/>
        </w:rPr>
        <w:t>[7] 姜国华, 张然. 稳健性与公允价值: 基于股票价格反应的规范性分析[J]. 会计研究, 2020(6): 20-31.</w:t>
      </w:r>
    </w:p>
    <w:p w14:paraId="7D7937F6">
      <w:pPr>
        <w:spacing w:before="60" w:after="60" w:line="320" w:lineRule="auto"/>
        <w:ind w:left="480" w:hanging="480"/>
        <w:jc w:val="both"/>
        <w:rPr>
          <w:color w:val="auto"/>
        </w:rPr>
      </w:pPr>
      <w:r>
        <w:rPr>
          <w:rFonts w:ascii="宋体" w:hAnsi="宋体" w:eastAsia="宋体" w:cs="宋体"/>
          <w:color w:val="auto"/>
          <w:sz w:val="22"/>
          <w:szCs w:val="22"/>
        </w:rPr>
        <w:t>[8] 财政部. 企业会计准则第 31 号——现金流量表[S]. 北京: 经济科学出版社, 2006.</w:t>
      </w:r>
    </w:p>
    <w:p w14:paraId="5C13110A">
      <w:pPr>
        <w:spacing w:before="60" w:after="60" w:line="320" w:lineRule="auto"/>
        <w:ind w:left="480" w:hanging="480"/>
        <w:jc w:val="both"/>
        <w:rPr>
          <w:color w:val="auto"/>
        </w:rPr>
      </w:pPr>
      <w:r>
        <w:rPr>
          <w:rFonts w:ascii="宋体" w:hAnsi="宋体" w:eastAsia="宋体" w:cs="宋体"/>
          <w:color w:val="auto"/>
          <w:sz w:val="22"/>
          <w:szCs w:val="22"/>
        </w:rPr>
        <w:t>[9] Tushare 社区. Tushare Pro 数据接口文档[EB/OL]. (2024-03-15)[2025-05-01]. https://tushare.pro/document/2.</w:t>
      </w:r>
    </w:p>
    <w:p w14:paraId="0D937D80">
      <w:pPr>
        <w:spacing w:before="60" w:after="60" w:line="320" w:lineRule="auto"/>
        <w:ind w:left="480" w:hanging="480"/>
        <w:jc w:val="both"/>
        <w:rPr>
          <w:color w:val="auto"/>
        </w:rPr>
      </w:pPr>
      <w:r>
        <w:rPr>
          <w:rFonts w:ascii="宋体" w:hAnsi="宋体" w:eastAsia="宋体" w:cs="宋体"/>
          <w:color w:val="auto"/>
          <w:sz w:val="22"/>
          <w:szCs w:val="22"/>
        </w:rPr>
        <w:t>[10] 帆软软件有限公司. FineBI 6.0 帮助文档: 仪表板与组件分析[EB/OL]. (2024-09-10)[2025-05-10]. https://help.fanruan.com/finebi/.</w:t>
      </w:r>
    </w:p>
    <w:p w14:paraId="28D5E7B7">
      <w:pPr>
        <w:spacing w:before="60" w:after="60" w:line="320" w:lineRule="auto"/>
        <w:ind w:left="480" w:hanging="480"/>
        <w:jc w:val="both"/>
        <w:rPr>
          <w:color w:val="auto"/>
        </w:rPr>
      </w:pPr>
      <w:r>
        <w:rPr>
          <w:rFonts w:ascii="宋体" w:hAnsi="宋体" w:eastAsia="宋体" w:cs="宋体"/>
          <w:color w:val="auto"/>
          <w:sz w:val="22"/>
          <w:szCs w:val="22"/>
        </w:rPr>
        <w:t>[11] McKinney W. pandas: powerful Python data analysis toolkit (v2.2)[EB/OL]. (2024-02-23)[2025-04-20]. https://pandas.pydata.org/docs/.</w:t>
      </w:r>
    </w:p>
    <w:p w14:paraId="75ACD50A">
      <w:pPr>
        <w:pStyle w:val="2"/>
        <w:pageBreakBefore/>
        <w:spacing w:before="480" w:after="360"/>
        <w:jc w:val="center"/>
        <w:rPr>
          <w:color w:val="auto"/>
        </w:rPr>
      </w:pPr>
      <w:bookmarkStart w:id="34" w:name="_Toc14356"/>
      <w:r>
        <w:rPr>
          <w:rFonts w:ascii="黑体" w:hAnsi="黑体" w:eastAsia="黑体" w:cs="黑体"/>
          <w:b/>
          <w:bCs/>
          <w:color w:val="auto"/>
          <w:sz w:val="36"/>
          <w:szCs w:val="36"/>
        </w:rPr>
        <w:t>附录1  样本公司清单</w:t>
      </w:r>
      <w:bookmarkEnd w:id="34"/>
    </w:p>
    <w:p w14:paraId="4E16C9C9">
      <w:pPr>
        <w:spacing w:before="0" w:after="0" w:line="360" w:lineRule="auto"/>
        <w:ind w:firstLine="480"/>
        <w:jc w:val="both"/>
        <w:rPr>
          <w:color w:val="auto"/>
        </w:rPr>
      </w:pPr>
      <w:r>
        <w:rPr>
          <w:rFonts w:ascii="宋体" w:hAnsi="宋体" w:eastAsia="宋体" w:cs="宋体"/>
          <w:color w:val="auto"/>
          <w:sz w:val="24"/>
          <w:szCs w:val="24"/>
        </w:rPr>
        <w:t>本研究最终纳入 FineBI 看板分析的 36 家 A 股上市公司按所属行业列示如下。股票代码、公司名称及行业分类均取自数据源文件中的"公司基础信息表（维度表）.xlsx"，未做改写。</w:t>
      </w:r>
    </w:p>
    <w:p w14:paraId="05CD4B3D">
      <w:pPr>
        <w:rPr>
          <w:color w:val="auto"/>
        </w:rPr>
      </w:pPr>
      <w:r>
        <w:rPr>
          <w:color w:val="auto"/>
        </w:rPr>
        <w:t xml:space="preserve"> </w:t>
      </w:r>
    </w:p>
    <w:p w14:paraId="427349F1">
      <w:pPr>
        <w:spacing w:before="60" w:after="120"/>
        <w:jc w:val="center"/>
        <w:rPr>
          <w:color w:val="auto"/>
        </w:rPr>
      </w:pPr>
      <w:r>
        <w:rPr>
          <w:rFonts w:ascii="宋体" w:hAnsi="宋体" w:eastAsia="宋体" w:cs="宋体"/>
          <w:b/>
          <w:bCs/>
          <w:color w:val="auto"/>
          <w:sz w:val="21"/>
          <w:szCs w:val="21"/>
        </w:rPr>
        <w:t>表附1-1  样本公司清单（按行业排序）</w:t>
      </w:r>
    </w:p>
    <w:tbl>
      <w:tblPr>
        <w:tblStyle w:val="1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00"/>
        <w:gridCol w:w="1800"/>
        <w:gridCol w:w="1800"/>
        <w:gridCol w:w="4160"/>
      </w:tblGrid>
      <w:tr w14:paraId="52F1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6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00" w:type="dxa"/>
              <w:bottom w:w="80" w:type="dxa"/>
              <w:right w:w="100" w:type="dxa"/>
            </w:tcMar>
          </w:tcPr>
          <w:p w14:paraId="4EB50236">
            <w:pPr>
              <w:spacing w:before="0" w:after="0" w:line="320" w:lineRule="auto"/>
              <w:jc w:val="center"/>
              <w:rPr>
                <w:color w:val="auto"/>
              </w:rPr>
            </w:pPr>
            <w:r>
              <w:rPr>
                <w:rFonts w:ascii="宋体" w:hAnsi="宋体" w:eastAsia="宋体" w:cs="宋体"/>
                <w:b/>
                <w:bCs/>
                <w:color w:val="auto"/>
                <w:sz w:val="21"/>
                <w:szCs w:val="21"/>
              </w:rPr>
              <w:t>所属行业</w:t>
            </w:r>
          </w:p>
        </w:tc>
        <w:tc>
          <w:tcPr>
            <w:tcW w:w="18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00" w:type="dxa"/>
              <w:bottom w:w="80" w:type="dxa"/>
              <w:right w:w="100" w:type="dxa"/>
            </w:tcMar>
          </w:tcPr>
          <w:p w14:paraId="50E67142">
            <w:pPr>
              <w:spacing w:before="0" w:after="0" w:line="320" w:lineRule="auto"/>
              <w:jc w:val="center"/>
              <w:rPr>
                <w:color w:val="auto"/>
              </w:rPr>
            </w:pPr>
            <w:r>
              <w:rPr>
                <w:rFonts w:ascii="宋体" w:hAnsi="宋体" w:eastAsia="宋体" w:cs="宋体"/>
                <w:b/>
                <w:bCs/>
                <w:color w:val="auto"/>
                <w:sz w:val="21"/>
                <w:szCs w:val="21"/>
              </w:rPr>
              <w:t>股票代码</w:t>
            </w:r>
          </w:p>
        </w:tc>
        <w:tc>
          <w:tcPr>
            <w:tcW w:w="18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00" w:type="dxa"/>
              <w:bottom w:w="80" w:type="dxa"/>
              <w:right w:w="100" w:type="dxa"/>
            </w:tcMar>
          </w:tcPr>
          <w:p w14:paraId="4BC29F4C">
            <w:pPr>
              <w:spacing w:before="0" w:after="0" w:line="320" w:lineRule="auto"/>
              <w:jc w:val="center"/>
              <w:rPr>
                <w:color w:val="auto"/>
              </w:rPr>
            </w:pPr>
            <w:r>
              <w:rPr>
                <w:rFonts w:ascii="宋体" w:hAnsi="宋体" w:eastAsia="宋体" w:cs="宋体"/>
                <w:b/>
                <w:bCs/>
                <w:color w:val="auto"/>
                <w:sz w:val="21"/>
                <w:szCs w:val="21"/>
              </w:rPr>
              <w:t>公司名称</w:t>
            </w:r>
          </w:p>
        </w:tc>
        <w:tc>
          <w:tcPr>
            <w:tcW w:w="416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00" w:type="dxa"/>
              <w:bottom w:w="80" w:type="dxa"/>
              <w:right w:w="100" w:type="dxa"/>
            </w:tcMar>
          </w:tcPr>
          <w:p w14:paraId="260328F6">
            <w:pPr>
              <w:spacing w:before="0" w:after="0" w:line="320" w:lineRule="auto"/>
              <w:jc w:val="center"/>
              <w:rPr>
                <w:color w:val="auto"/>
              </w:rPr>
            </w:pPr>
            <w:r>
              <w:rPr>
                <w:rFonts w:ascii="宋体" w:hAnsi="宋体" w:eastAsia="宋体" w:cs="宋体"/>
                <w:b/>
                <w:bCs/>
                <w:color w:val="auto"/>
                <w:sz w:val="21"/>
                <w:szCs w:val="21"/>
              </w:rPr>
              <w:t>备注</w:t>
            </w:r>
          </w:p>
        </w:tc>
      </w:tr>
      <w:tr w14:paraId="733D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77B198C">
            <w:pPr>
              <w:spacing w:before="0" w:after="0" w:line="320" w:lineRule="auto"/>
              <w:jc w:val="center"/>
              <w:rPr>
                <w:color w:val="auto"/>
              </w:rPr>
            </w:pPr>
            <w:r>
              <w:rPr>
                <w:rFonts w:ascii="宋体" w:hAnsi="宋体" w:eastAsia="宋体" w:cs="宋体"/>
                <w:b w:val="0"/>
                <w:bCs w:val="0"/>
                <w:color w:val="auto"/>
                <w:sz w:val="21"/>
                <w:szCs w:val="21"/>
              </w:rPr>
              <w:t>专用机械</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099273F">
            <w:pPr>
              <w:spacing w:before="0" w:after="0" w:line="320" w:lineRule="auto"/>
              <w:jc w:val="center"/>
              <w:rPr>
                <w:color w:val="auto"/>
              </w:rPr>
            </w:pPr>
            <w:r>
              <w:rPr>
                <w:rFonts w:ascii="宋体" w:hAnsi="宋体" w:eastAsia="宋体" w:cs="宋体"/>
                <w:b w:val="0"/>
                <w:bCs w:val="0"/>
                <w:color w:val="auto"/>
                <w:sz w:val="21"/>
                <w:szCs w:val="21"/>
              </w:rPr>
              <w:t>600184.SH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0F3E7C3">
            <w:pPr>
              <w:spacing w:before="0" w:after="0" w:line="320" w:lineRule="auto"/>
              <w:jc w:val="center"/>
              <w:rPr>
                <w:color w:val="auto"/>
              </w:rPr>
            </w:pPr>
            <w:r>
              <w:rPr>
                <w:rFonts w:ascii="宋体" w:hAnsi="宋体" w:eastAsia="宋体" w:cs="宋体"/>
                <w:b w:val="0"/>
                <w:bCs w:val="0"/>
                <w:color w:val="auto"/>
                <w:sz w:val="21"/>
                <w:szCs w:val="21"/>
              </w:rPr>
              <w:t>光电股份</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D0E1817">
            <w:pPr>
              <w:spacing w:before="0" w:after="0" w:line="320" w:lineRule="auto"/>
              <w:jc w:val="center"/>
              <w:rPr>
                <w:color w:val="auto"/>
              </w:rPr>
            </w:pPr>
          </w:p>
        </w:tc>
      </w:tr>
      <w:tr w14:paraId="6271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4DD783F">
            <w:pPr>
              <w:spacing w:before="0" w:after="0" w:line="320" w:lineRule="auto"/>
              <w:jc w:val="center"/>
              <w:rPr>
                <w:color w:val="auto"/>
              </w:rPr>
            </w:pPr>
            <w:r>
              <w:rPr>
                <w:rFonts w:ascii="宋体" w:hAnsi="宋体" w:eastAsia="宋体" w:cs="宋体"/>
                <w:b w:val="0"/>
                <w:bCs w:val="0"/>
                <w:color w:val="auto"/>
                <w:sz w:val="21"/>
                <w:szCs w:val="21"/>
              </w:rPr>
              <w:t>专用机械</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C9D7AA3">
            <w:pPr>
              <w:spacing w:before="0" w:after="0" w:line="320" w:lineRule="auto"/>
              <w:jc w:val="center"/>
              <w:rPr>
                <w:color w:val="auto"/>
              </w:rPr>
            </w:pPr>
            <w:r>
              <w:rPr>
                <w:rFonts w:ascii="宋体" w:hAnsi="宋体" w:eastAsia="宋体" w:cs="宋体"/>
                <w:b w:val="0"/>
                <w:bCs w:val="0"/>
                <w:color w:val="auto"/>
                <w:sz w:val="21"/>
                <w:szCs w:val="21"/>
              </w:rPr>
              <w:t>600202.SH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3638018">
            <w:pPr>
              <w:spacing w:before="0" w:after="0" w:line="320" w:lineRule="auto"/>
              <w:jc w:val="center"/>
              <w:rPr>
                <w:color w:val="auto"/>
              </w:rPr>
            </w:pPr>
            <w:r>
              <w:rPr>
                <w:rFonts w:ascii="宋体" w:hAnsi="宋体" w:eastAsia="宋体" w:cs="宋体"/>
                <w:b w:val="0"/>
                <w:bCs w:val="0"/>
                <w:color w:val="auto"/>
                <w:sz w:val="21"/>
                <w:szCs w:val="21"/>
              </w:rPr>
              <w:t>哈空调</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5F2FBCC">
            <w:pPr>
              <w:spacing w:before="0" w:after="0" w:line="320" w:lineRule="auto"/>
              <w:jc w:val="center"/>
              <w:rPr>
                <w:color w:val="auto"/>
              </w:rPr>
            </w:pPr>
          </w:p>
        </w:tc>
      </w:tr>
      <w:tr w14:paraId="42EF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F0EDCFA">
            <w:pPr>
              <w:spacing w:before="0" w:after="0" w:line="320" w:lineRule="auto"/>
              <w:jc w:val="center"/>
              <w:rPr>
                <w:color w:val="auto"/>
              </w:rPr>
            </w:pPr>
            <w:r>
              <w:rPr>
                <w:rFonts w:ascii="宋体" w:hAnsi="宋体" w:eastAsia="宋体" w:cs="宋体"/>
                <w:b w:val="0"/>
                <w:bCs w:val="0"/>
                <w:color w:val="auto"/>
                <w:sz w:val="21"/>
                <w:szCs w:val="21"/>
              </w:rPr>
              <w:t>专用机械</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969F395">
            <w:pPr>
              <w:spacing w:before="0" w:after="0" w:line="320" w:lineRule="auto"/>
              <w:jc w:val="center"/>
              <w:rPr>
                <w:color w:val="auto"/>
              </w:rPr>
            </w:pPr>
            <w:r>
              <w:rPr>
                <w:rFonts w:ascii="宋体" w:hAnsi="宋体" w:eastAsia="宋体" w:cs="宋体"/>
                <w:b w:val="0"/>
                <w:bCs w:val="0"/>
                <w:color w:val="auto"/>
                <w:sz w:val="21"/>
                <w:szCs w:val="21"/>
              </w:rPr>
              <w:t>600215.SH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30EEE4E">
            <w:pPr>
              <w:spacing w:before="0" w:after="0" w:line="320" w:lineRule="auto"/>
              <w:jc w:val="center"/>
              <w:rPr>
                <w:color w:val="auto"/>
              </w:rPr>
            </w:pPr>
            <w:r>
              <w:rPr>
                <w:rFonts w:ascii="宋体" w:hAnsi="宋体" w:eastAsia="宋体" w:cs="宋体"/>
                <w:b w:val="0"/>
                <w:bCs w:val="0"/>
                <w:color w:val="auto"/>
                <w:sz w:val="21"/>
                <w:szCs w:val="21"/>
              </w:rPr>
              <w:t>派斯林</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E56A311">
            <w:pPr>
              <w:spacing w:before="0" w:after="0" w:line="320" w:lineRule="auto"/>
              <w:jc w:val="center"/>
              <w:rPr>
                <w:color w:val="auto"/>
              </w:rPr>
            </w:pPr>
          </w:p>
        </w:tc>
      </w:tr>
      <w:tr w14:paraId="1C08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13AF8CE">
            <w:pPr>
              <w:spacing w:before="0" w:after="0" w:line="320" w:lineRule="auto"/>
              <w:jc w:val="center"/>
              <w:rPr>
                <w:color w:val="auto"/>
              </w:rPr>
            </w:pPr>
            <w:r>
              <w:rPr>
                <w:rFonts w:ascii="宋体" w:hAnsi="宋体" w:eastAsia="宋体" w:cs="宋体"/>
                <w:b w:val="0"/>
                <w:bCs w:val="0"/>
                <w:color w:val="auto"/>
                <w:sz w:val="21"/>
                <w:szCs w:val="21"/>
              </w:rPr>
              <w:t>专用机械</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B1BF9D0">
            <w:pPr>
              <w:spacing w:before="0" w:after="0" w:line="320" w:lineRule="auto"/>
              <w:jc w:val="center"/>
              <w:rPr>
                <w:color w:val="auto"/>
              </w:rPr>
            </w:pPr>
            <w:r>
              <w:rPr>
                <w:rFonts w:ascii="宋体" w:hAnsi="宋体" w:eastAsia="宋体" w:cs="宋体"/>
                <w:b w:val="0"/>
                <w:bCs w:val="0"/>
                <w:color w:val="auto"/>
                <w:sz w:val="21"/>
                <w:szCs w:val="21"/>
              </w:rPr>
              <w:t>600262.SH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F752205">
            <w:pPr>
              <w:spacing w:before="0" w:after="0" w:line="320" w:lineRule="auto"/>
              <w:jc w:val="center"/>
              <w:rPr>
                <w:color w:val="auto"/>
              </w:rPr>
            </w:pPr>
            <w:r>
              <w:rPr>
                <w:rFonts w:ascii="宋体" w:hAnsi="宋体" w:eastAsia="宋体" w:cs="宋体"/>
                <w:b w:val="0"/>
                <w:bCs w:val="0"/>
                <w:color w:val="auto"/>
                <w:sz w:val="21"/>
                <w:szCs w:val="21"/>
              </w:rPr>
              <w:t>北方股份</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3C53B82">
            <w:pPr>
              <w:spacing w:before="0" w:after="0" w:line="320" w:lineRule="auto"/>
              <w:jc w:val="center"/>
              <w:rPr>
                <w:color w:val="auto"/>
              </w:rPr>
            </w:pPr>
          </w:p>
        </w:tc>
      </w:tr>
      <w:tr w14:paraId="7844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4B3AAA5">
            <w:pPr>
              <w:spacing w:before="0" w:after="0" w:line="320" w:lineRule="auto"/>
              <w:jc w:val="center"/>
              <w:rPr>
                <w:color w:val="auto"/>
              </w:rPr>
            </w:pPr>
            <w:r>
              <w:rPr>
                <w:rFonts w:ascii="宋体" w:hAnsi="宋体" w:eastAsia="宋体" w:cs="宋体"/>
                <w:b w:val="0"/>
                <w:bCs w:val="0"/>
                <w:color w:val="auto"/>
                <w:sz w:val="21"/>
                <w:szCs w:val="21"/>
              </w:rPr>
              <w:t>农业综合</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1501374">
            <w:pPr>
              <w:spacing w:before="0" w:after="0" w:line="320" w:lineRule="auto"/>
              <w:jc w:val="center"/>
              <w:rPr>
                <w:color w:val="auto"/>
              </w:rPr>
            </w:pPr>
            <w:r>
              <w:rPr>
                <w:rFonts w:ascii="宋体" w:hAnsi="宋体" w:eastAsia="宋体" w:cs="宋体"/>
                <w:b w:val="0"/>
                <w:bCs w:val="0"/>
                <w:color w:val="auto"/>
                <w:sz w:val="21"/>
                <w:szCs w:val="21"/>
              </w:rPr>
              <w:t>600127.SH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FCC8854">
            <w:pPr>
              <w:spacing w:before="0" w:after="0" w:line="320" w:lineRule="auto"/>
              <w:jc w:val="center"/>
              <w:rPr>
                <w:color w:val="auto"/>
              </w:rPr>
            </w:pPr>
            <w:r>
              <w:rPr>
                <w:rFonts w:ascii="宋体" w:hAnsi="宋体" w:eastAsia="宋体" w:cs="宋体"/>
                <w:b w:val="0"/>
                <w:bCs w:val="0"/>
                <w:color w:val="auto"/>
                <w:sz w:val="21"/>
                <w:szCs w:val="21"/>
              </w:rPr>
              <w:t>金健米业</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BEC5801">
            <w:pPr>
              <w:spacing w:before="0" w:after="0" w:line="320" w:lineRule="auto"/>
              <w:jc w:val="center"/>
              <w:rPr>
                <w:color w:val="auto"/>
              </w:rPr>
            </w:pPr>
          </w:p>
        </w:tc>
      </w:tr>
      <w:tr w14:paraId="4448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F00CE70">
            <w:pPr>
              <w:spacing w:before="0" w:after="0" w:line="320" w:lineRule="auto"/>
              <w:jc w:val="center"/>
              <w:rPr>
                <w:color w:val="auto"/>
              </w:rPr>
            </w:pPr>
            <w:r>
              <w:rPr>
                <w:rFonts w:ascii="宋体" w:hAnsi="宋体" w:eastAsia="宋体" w:cs="宋体"/>
                <w:b w:val="0"/>
                <w:bCs w:val="0"/>
                <w:color w:val="auto"/>
                <w:sz w:val="21"/>
                <w:szCs w:val="21"/>
              </w:rPr>
              <w:t>农业综合</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B9FFE67">
            <w:pPr>
              <w:spacing w:before="0" w:after="0" w:line="320" w:lineRule="auto"/>
              <w:jc w:val="center"/>
              <w:rPr>
                <w:color w:val="auto"/>
              </w:rPr>
            </w:pPr>
            <w:r>
              <w:rPr>
                <w:rFonts w:ascii="宋体" w:hAnsi="宋体" w:eastAsia="宋体" w:cs="宋体"/>
                <w:b w:val="0"/>
                <w:bCs w:val="0"/>
                <w:color w:val="auto"/>
                <w:sz w:val="21"/>
                <w:szCs w:val="21"/>
              </w:rPr>
              <w:t>600195.SH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A6630BD">
            <w:pPr>
              <w:spacing w:before="0" w:after="0" w:line="320" w:lineRule="auto"/>
              <w:jc w:val="center"/>
              <w:rPr>
                <w:color w:val="auto"/>
              </w:rPr>
            </w:pPr>
            <w:r>
              <w:rPr>
                <w:rFonts w:ascii="宋体" w:hAnsi="宋体" w:eastAsia="宋体" w:cs="宋体"/>
                <w:b w:val="0"/>
                <w:bCs w:val="0"/>
                <w:color w:val="auto"/>
                <w:sz w:val="21"/>
                <w:szCs w:val="21"/>
              </w:rPr>
              <w:t>中牧股份</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B2D14A3">
            <w:pPr>
              <w:spacing w:before="0" w:after="0" w:line="320" w:lineRule="auto"/>
              <w:jc w:val="center"/>
              <w:rPr>
                <w:color w:val="auto"/>
              </w:rPr>
            </w:pPr>
          </w:p>
        </w:tc>
      </w:tr>
      <w:tr w14:paraId="3E7C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47B6071">
            <w:pPr>
              <w:spacing w:before="0" w:after="0" w:line="320" w:lineRule="auto"/>
              <w:jc w:val="center"/>
              <w:rPr>
                <w:color w:val="auto"/>
              </w:rPr>
            </w:pPr>
            <w:r>
              <w:rPr>
                <w:rFonts w:ascii="宋体" w:hAnsi="宋体" w:eastAsia="宋体" w:cs="宋体"/>
                <w:b w:val="0"/>
                <w:bCs w:val="0"/>
                <w:color w:val="auto"/>
                <w:sz w:val="21"/>
                <w:szCs w:val="21"/>
              </w:rPr>
              <w:t>农业综合</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26C82AC">
            <w:pPr>
              <w:spacing w:before="0" w:after="0" w:line="320" w:lineRule="auto"/>
              <w:jc w:val="center"/>
              <w:rPr>
                <w:color w:val="auto"/>
              </w:rPr>
            </w:pPr>
            <w:r>
              <w:rPr>
                <w:rFonts w:ascii="宋体" w:hAnsi="宋体" w:eastAsia="宋体" w:cs="宋体"/>
                <w:b w:val="0"/>
                <w:bCs w:val="0"/>
                <w:color w:val="auto"/>
                <w:sz w:val="21"/>
                <w:szCs w:val="21"/>
              </w:rPr>
              <w:t>600201.SH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2363A5C">
            <w:pPr>
              <w:spacing w:before="0" w:after="0" w:line="320" w:lineRule="auto"/>
              <w:jc w:val="center"/>
              <w:rPr>
                <w:color w:val="auto"/>
              </w:rPr>
            </w:pPr>
            <w:r>
              <w:rPr>
                <w:rFonts w:ascii="宋体" w:hAnsi="宋体" w:eastAsia="宋体" w:cs="宋体"/>
                <w:b w:val="0"/>
                <w:bCs w:val="0"/>
                <w:color w:val="auto"/>
                <w:sz w:val="21"/>
                <w:szCs w:val="21"/>
              </w:rPr>
              <w:t>生物股份</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261B715">
            <w:pPr>
              <w:spacing w:before="0" w:after="0" w:line="320" w:lineRule="auto"/>
              <w:jc w:val="center"/>
              <w:rPr>
                <w:color w:val="auto"/>
              </w:rPr>
            </w:pPr>
          </w:p>
        </w:tc>
      </w:tr>
      <w:tr w14:paraId="3D65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4361A94">
            <w:pPr>
              <w:spacing w:before="0" w:after="0" w:line="320" w:lineRule="auto"/>
              <w:jc w:val="center"/>
              <w:rPr>
                <w:color w:val="auto"/>
              </w:rPr>
            </w:pPr>
            <w:r>
              <w:rPr>
                <w:rFonts w:ascii="宋体" w:hAnsi="宋体" w:eastAsia="宋体" w:cs="宋体"/>
                <w:b w:val="0"/>
                <w:bCs w:val="0"/>
                <w:color w:val="auto"/>
                <w:sz w:val="21"/>
                <w:szCs w:val="21"/>
              </w:rPr>
              <w:t>农业综合</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A397925">
            <w:pPr>
              <w:spacing w:before="0" w:after="0" w:line="320" w:lineRule="auto"/>
              <w:jc w:val="center"/>
              <w:rPr>
                <w:color w:val="auto"/>
              </w:rPr>
            </w:pPr>
            <w:r>
              <w:rPr>
                <w:rFonts w:ascii="宋体" w:hAnsi="宋体" w:eastAsia="宋体" w:cs="宋体"/>
                <w:b w:val="0"/>
                <w:bCs w:val="0"/>
                <w:color w:val="auto"/>
                <w:sz w:val="21"/>
                <w:szCs w:val="21"/>
              </w:rPr>
              <w:t>600251.SH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53EF58C">
            <w:pPr>
              <w:spacing w:before="0" w:after="0" w:line="320" w:lineRule="auto"/>
              <w:jc w:val="center"/>
              <w:rPr>
                <w:color w:val="auto"/>
              </w:rPr>
            </w:pPr>
            <w:r>
              <w:rPr>
                <w:rFonts w:ascii="宋体" w:hAnsi="宋体" w:eastAsia="宋体" w:cs="宋体"/>
                <w:b w:val="0"/>
                <w:bCs w:val="0"/>
                <w:color w:val="auto"/>
                <w:sz w:val="21"/>
                <w:szCs w:val="21"/>
              </w:rPr>
              <w:t>冠农股份</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19BC6A7">
            <w:pPr>
              <w:spacing w:before="0" w:after="0" w:line="320" w:lineRule="auto"/>
              <w:jc w:val="center"/>
              <w:rPr>
                <w:color w:val="auto"/>
              </w:rPr>
            </w:pPr>
          </w:p>
        </w:tc>
      </w:tr>
      <w:tr w14:paraId="381D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BCC1DF6">
            <w:pPr>
              <w:spacing w:before="0" w:after="0" w:line="320" w:lineRule="auto"/>
              <w:jc w:val="center"/>
              <w:rPr>
                <w:color w:val="auto"/>
              </w:rPr>
            </w:pPr>
            <w:r>
              <w:rPr>
                <w:rFonts w:ascii="宋体" w:hAnsi="宋体" w:eastAsia="宋体" w:cs="宋体"/>
                <w:b w:val="0"/>
                <w:bCs w:val="0"/>
                <w:color w:val="auto"/>
                <w:sz w:val="21"/>
                <w:szCs w:val="21"/>
              </w:rPr>
              <w:t>化学制药</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EC16064">
            <w:pPr>
              <w:spacing w:before="0" w:after="0" w:line="320" w:lineRule="auto"/>
              <w:jc w:val="center"/>
              <w:rPr>
                <w:color w:val="auto"/>
              </w:rPr>
            </w:pPr>
            <w:r>
              <w:rPr>
                <w:rFonts w:ascii="宋体" w:hAnsi="宋体" w:eastAsia="宋体" w:cs="宋体"/>
                <w:b w:val="0"/>
                <w:bCs w:val="0"/>
                <w:color w:val="auto"/>
                <w:sz w:val="21"/>
                <w:szCs w:val="21"/>
              </w:rPr>
              <w:t>600062.SH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7655047">
            <w:pPr>
              <w:spacing w:before="0" w:after="0" w:line="320" w:lineRule="auto"/>
              <w:jc w:val="center"/>
              <w:rPr>
                <w:color w:val="auto"/>
              </w:rPr>
            </w:pPr>
            <w:r>
              <w:rPr>
                <w:rFonts w:ascii="宋体" w:hAnsi="宋体" w:eastAsia="宋体" w:cs="宋体"/>
                <w:b w:val="0"/>
                <w:bCs w:val="0"/>
                <w:color w:val="auto"/>
                <w:sz w:val="21"/>
                <w:szCs w:val="21"/>
              </w:rPr>
              <w:t>华润双鹤</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14406B0">
            <w:pPr>
              <w:spacing w:before="0" w:after="0" w:line="320" w:lineRule="auto"/>
              <w:jc w:val="center"/>
              <w:rPr>
                <w:color w:val="auto"/>
              </w:rPr>
            </w:pPr>
          </w:p>
        </w:tc>
      </w:tr>
      <w:tr w14:paraId="4EEB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3122F9B">
            <w:pPr>
              <w:spacing w:before="0" w:after="0" w:line="320" w:lineRule="auto"/>
              <w:jc w:val="center"/>
              <w:rPr>
                <w:color w:val="auto"/>
              </w:rPr>
            </w:pPr>
            <w:r>
              <w:rPr>
                <w:rFonts w:ascii="宋体" w:hAnsi="宋体" w:eastAsia="宋体" w:cs="宋体"/>
                <w:b w:val="0"/>
                <w:bCs w:val="0"/>
                <w:color w:val="auto"/>
                <w:sz w:val="21"/>
                <w:szCs w:val="21"/>
              </w:rPr>
              <w:t>化学制药</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BD83085">
            <w:pPr>
              <w:spacing w:before="0" w:after="0" w:line="320" w:lineRule="auto"/>
              <w:jc w:val="center"/>
              <w:rPr>
                <w:color w:val="auto"/>
              </w:rPr>
            </w:pPr>
            <w:r>
              <w:rPr>
                <w:rFonts w:ascii="宋体" w:hAnsi="宋体" w:eastAsia="宋体" w:cs="宋体"/>
                <w:b w:val="0"/>
                <w:bCs w:val="0"/>
                <w:color w:val="auto"/>
                <w:sz w:val="21"/>
                <w:szCs w:val="21"/>
              </w:rPr>
              <w:t>600079.SH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F0DDCA7">
            <w:pPr>
              <w:spacing w:before="0" w:after="0" w:line="320" w:lineRule="auto"/>
              <w:jc w:val="center"/>
              <w:rPr>
                <w:color w:val="auto"/>
              </w:rPr>
            </w:pPr>
            <w:r>
              <w:rPr>
                <w:rFonts w:ascii="宋体" w:hAnsi="宋体" w:eastAsia="宋体" w:cs="宋体"/>
                <w:b w:val="0"/>
                <w:bCs w:val="0"/>
                <w:color w:val="auto"/>
                <w:sz w:val="21"/>
                <w:szCs w:val="21"/>
              </w:rPr>
              <w:t>ST 人福</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F2F59A3">
            <w:pPr>
              <w:spacing w:before="0" w:after="0" w:line="320" w:lineRule="auto"/>
              <w:jc w:val="center"/>
              <w:rPr>
                <w:color w:val="auto"/>
              </w:rPr>
            </w:pPr>
          </w:p>
        </w:tc>
      </w:tr>
      <w:tr w14:paraId="5F72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257E579">
            <w:pPr>
              <w:spacing w:before="0" w:after="0" w:line="320" w:lineRule="auto"/>
              <w:jc w:val="center"/>
              <w:rPr>
                <w:color w:val="auto"/>
              </w:rPr>
            </w:pPr>
            <w:r>
              <w:rPr>
                <w:rFonts w:ascii="宋体" w:hAnsi="宋体" w:eastAsia="宋体" w:cs="宋体"/>
                <w:b w:val="0"/>
                <w:bCs w:val="0"/>
                <w:color w:val="auto"/>
                <w:sz w:val="21"/>
                <w:szCs w:val="21"/>
              </w:rPr>
              <w:t>化学制药</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ABB21BC">
            <w:pPr>
              <w:spacing w:before="0" w:after="0" w:line="320" w:lineRule="auto"/>
              <w:jc w:val="center"/>
              <w:rPr>
                <w:color w:val="auto"/>
              </w:rPr>
            </w:pPr>
            <w:r>
              <w:rPr>
                <w:rFonts w:ascii="宋体" w:hAnsi="宋体" w:eastAsia="宋体" w:cs="宋体"/>
                <w:b w:val="0"/>
                <w:bCs w:val="0"/>
                <w:color w:val="auto"/>
                <w:sz w:val="21"/>
                <w:szCs w:val="21"/>
              </w:rPr>
              <w:t>600196.SH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B5450A0">
            <w:pPr>
              <w:spacing w:before="0" w:after="0" w:line="320" w:lineRule="auto"/>
              <w:jc w:val="center"/>
              <w:rPr>
                <w:color w:val="auto"/>
              </w:rPr>
            </w:pPr>
            <w:r>
              <w:rPr>
                <w:rFonts w:ascii="宋体" w:hAnsi="宋体" w:eastAsia="宋体" w:cs="宋体"/>
                <w:b w:val="0"/>
                <w:bCs w:val="0"/>
                <w:color w:val="auto"/>
                <w:sz w:val="21"/>
                <w:szCs w:val="21"/>
              </w:rPr>
              <w:t>复星医药</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0575A32">
            <w:pPr>
              <w:spacing w:before="0" w:after="0" w:line="320" w:lineRule="auto"/>
              <w:jc w:val="center"/>
              <w:rPr>
                <w:color w:val="auto"/>
              </w:rPr>
            </w:pPr>
          </w:p>
        </w:tc>
      </w:tr>
      <w:tr w14:paraId="6030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BDB5B1D">
            <w:pPr>
              <w:spacing w:before="0" w:after="0" w:line="320" w:lineRule="auto"/>
              <w:jc w:val="center"/>
              <w:rPr>
                <w:color w:val="auto"/>
              </w:rPr>
            </w:pPr>
            <w:r>
              <w:rPr>
                <w:rFonts w:ascii="宋体" w:hAnsi="宋体" w:eastAsia="宋体" w:cs="宋体"/>
                <w:b w:val="0"/>
                <w:bCs w:val="0"/>
                <w:color w:val="auto"/>
                <w:sz w:val="21"/>
                <w:szCs w:val="21"/>
              </w:rPr>
              <w:t>化学制药</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949FC6A">
            <w:pPr>
              <w:spacing w:before="0" w:after="0" w:line="320" w:lineRule="auto"/>
              <w:jc w:val="center"/>
              <w:rPr>
                <w:color w:val="auto"/>
              </w:rPr>
            </w:pPr>
            <w:r>
              <w:rPr>
                <w:rFonts w:ascii="宋体" w:hAnsi="宋体" w:eastAsia="宋体" w:cs="宋体"/>
                <w:b w:val="0"/>
                <w:bCs w:val="0"/>
                <w:color w:val="auto"/>
                <w:sz w:val="21"/>
                <w:szCs w:val="21"/>
              </w:rPr>
              <w:t>600216.SH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98D9CA3">
            <w:pPr>
              <w:spacing w:before="0" w:after="0" w:line="320" w:lineRule="auto"/>
              <w:jc w:val="center"/>
              <w:rPr>
                <w:color w:val="auto"/>
              </w:rPr>
            </w:pPr>
            <w:r>
              <w:rPr>
                <w:rFonts w:ascii="宋体" w:hAnsi="宋体" w:eastAsia="宋体" w:cs="宋体"/>
                <w:b w:val="0"/>
                <w:bCs w:val="0"/>
                <w:color w:val="auto"/>
                <w:sz w:val="21"/>
                <w:szCs w:val="21"/>
              </w:rPr>
              <w:t>浙江医药</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F9558B3">
            <w:pPr>
              <w:spacing w:before="0" w:after="0" w:line="320" w:lineRule="auto"/>
              <w:jc w:val="center"/>
              <w:rPr>
                <w:color w:val="auto"/>
              </w:rPr>
            </w:pPr>
          </w:p>
        </w:tc>
      </w:tr>
      <w:tr w14:paraId="6345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F523FD7">
            <w:pPr>
              <w:spacing w:before="0" w:after="0" w:line="320" w:lineRule="auto"/>
              <w:jc w:val="center"/>
              <w:rPr>
                <w:color w:val="auto"/>
              </w:rPr>
            </w:pPr>
            <w:r>
              <w:rPr>
                <w:rFonts w:ascii="宋体" w:hAnsi="宋体" w:eastAsia="宋体" w:cs="宋体"/>
                <w:b w:val="0"/>
                <w:bCs w:val="0"/>
                <w:color w:val="auto"/>
                <w:sz w:val="21"/>
                <w:szCs w:val="21"/>
              </w:rPr>
              <w:t>化工原料</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ACB4A5B">
            <w:pPr>
              <w:spacing w:before="0" w:after="0" w:line="320" w:lineRule="auto"/>
              <w:jc w:val="center"/>
              <w:rPr>
                <w:color w:val="auto"/>
              </w:rPr>
            </w:pPr>
            <w:r>
              <w:rPr>
                <w:rFonts w:ascii="宋体" w:hAnsi="宋体" w:eastAsia="宋体" w:cs="宋体"/>
                <w:b w:val="0"/>
                <w:bCs w:val="0"/>
                <w:color w:val="auto"/>
                <w:sz w:val="21"/>
                <w:szCs w:val="21"/>
              </w:rPr>
              <w:t>600075.SH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F3C640C">
            <w:pPr>
              <w:spacing w:before="0" w:after="0" w:line="320" w:lineRule="auto"/>
              <w:jc w:val="center"/>
              <w:rPr>
                <w:color w:val="auto"/>
              </w:rPr>
            </w:pPr>
            <w:r>
              <w:rPr>
                <w:rFonts w:ascii="宋体" w:hAnsi="宋体" w:eastAsia="宋体" w:cs="宋体"/>
                <w:b w:val="0"/>
                <w:bCs w:val="0"/>
                <w:color w:val="auto"/>
                <w:sz w:val="21"/>
                <w:szCs w:val="21"/>
              </w:rPr>
              <w:t>新疆天业</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9D6401E">
            <w:pPr>
              <w:spacing w:before="0" w:after="0" w:line="320" w:lineRule="auto"/>
              <w:jc w:val="center"/>
              <w:rPr>
                <w:color w:val="auto"/>
              </w:rPr>
            </w:pPr>
          </w:p>
        </w:tc>
      </w:tr>
      <w:tr w14:paraId="3FB0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913869E">
            <w:pPr>
              <w:spacing w:before="0" w:after="0" w:line="320" w:lineRule="auto"/>
              <w:jc w:val="center"/>
              <w:rPr>
                <w:color w:val="auto"/>
              </w:rPr>
            </w:pPr>
            <w:r>
              <w:rPr>
                <w:rFonts w:ascii="宋体" w:hAnsi="宋体" w:eastAsia="宋体" w:cs="宋体"/>
                <w:b w:val="0"/>
                <w:bCs w:val="0"/>
                <w:color w:val="auto"/>
                <w:sz w:val="21"/>
                <w:szCs w:val="21"/>
              </w:rPr>
              <w:t>化工原料</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3C535A8">
            <w:pPr>
              <w:spacing w:before="0" w:after="0" w:line="320" w:lineRule="auto"/>
              <w:jc w:val="center"/>
              <w:rPr>
                <w:color w:val="auto"/>
              </w:rPr>
            </w:pPr>
            <w:r>
              <w:rPr>
                <w:rFonts w:ascii="宋体" w:hAnsi="宋体" w:eastAsia="宋体" w:cs="宋体"/>
                <w:b w:val="0"/>
                <w:bCs w:val="0"/>
                <w:color w:val="auto"/>
                <w:sz w:val="21"/>
                <w:szCs w:val="21"/>
              </w:rPr>
              <w:t>600078.SH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5E7690F">
            <w:pPr>
              <w:spacing w:before="0" w:after="0" w:line="320" w:lineRule="auto"/>
              <w:jc w:val="center"/>
              <w:rPr>
                <w:color w:val="auto"/>
              </w:rPr>
            </w:pPr>
            <w:r>
              <w:rPr>
                <w:rFonts w:ascii="宋体" w:hAnsi="宋体" w:eastAsia="宋体" w:cs="宋体"/>
                <w:b w:val="0"/>
                <w:bCs w:val="0"/>
                <w:color w:val="auto"/>
                <w:sz w:val="21"/>
                <w:szCs w:val="21"/>
              </w:rPr>
              <w:t>澄星股份</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862C06B">
            <w:pPr>
              <w:spacing w:before="0" w:after="0" w:line="320" w:lineRule="auto"/>
              <w:jc w:val="center"/>
              <w:rPr>
                <w:color w:val="auto"/>
              </w:rPr>
            </w:pPr>
          </w:p>
        </w:tc>
      </w:tr>
      <w:tr w14:paraId="53F3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864CB86">
            <w:pPr>
              <w:spacing w:before="0" w:after="0" w:line="320" w:lineRule="auto"/>
              <w:jc w:val="center"/>
              <w:rPr>
                <w:color w:val="auto"/>
              </w:rPr>
            </w:pPr>
            <w:r>
              <w:rPr>
                <w:rFonts w:ascii="宋体" w:hAnsi="宋体" w:eastAsia="宋体" w:cs="宋体"/>
                <w:b w:val="0"/>
                <w:bCs w:val="0"/>
                <w:color w:val="auto"/>
                <w:sz w:val="21"/>
                <w:szCs w:val="21"/>
              </w:rPr>
              <w:t>化工原料</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70D03D1">
            <w:pPr>
              <w:spacing w:before="0" w:after="0" w:line="320" w:lineRule="auto"/>
              <w:jc w:val="center"/>
              <w:rPr>
                <w:color w:val="auto"/>
              </w:rPr>
            </w:pPr>
            <w:r>
              <w:rPr>
                <w:rFonts w:ascii="宋体" w:hAnsi="宋体" w:eastAsia="宋体" w:cs="宋体"/>
                <w:b w:val="0"/>
                <w:bCs w:val="0"/>
                <w:color w:val="auto"/>
                <w:sz w:val="21"/>
                <w:szCs w:val="21"/>
              </w:rPr>
              <w:t>600160.SH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401EBE1">
            <w:pPr>
              <w:spacing w:before="0" w:after="0" w:line="320" w:lineRule="auto"/>
              <w:jc w:val="center"/>
              <w:rPr>
                <w:color w:val="auto"/>
              </w:rPr>
            </w:pPr>
            <w:r>
              <w:rPr>
                <w:rFonts w:ascii="宋体" w:hAnsi="宋体" w:eastAsia="宋体" w:cs="宋体"/>
                <w:b w:val="0"/>
                <w:bCs w:val="0"/>
                <w:color w:val="auto"/>
                <w:sz w:val="21"/>
                <w:szCs w:val="21"/>
              </w:rPr>
              <w:t>巨化股份</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16F7531">
            <w:pPr>
              <w:spacing w:before="0" w:after="0" w:line="320" w:lineRule="auto"/>
              <w:jc w:val="center"/>
              <w:rPr>
                <w:color w:val="auto"/>
              </w:rPr>
            </w:pPr>
          </w:p>
        </w:tc>
      </w:tr>
      <w:tr w14:paraId="12A2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C73B602">
            <w:pPr>
              <w:spacing w:before="0" w:after="0" w:line="320" w:lineRule="auto"/>
              <w:jc w:val="center"/>
              <w:rPr>
                <w:color w:val="auto"/>
              </w:rPr>
            </w:pPr>
            <w:r>
              <w:rPr>
                <w:rFonts w:ascii="宋体" w:hAnsi="宋体" w:eastAsia="宋体" w:cs="宋体"/>
                <w:b w:val="0"/>
                <w:bCs w:val="0"/>
                <w:color w:val="auto"/>
                <w:sz w:val="21"/>
                <w:szCs w:val="21"/>
              </w:rPr>
              <w:t>化工原料</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CF41160">
            <w:pPr>
              <w:spacing w:before="0" w:after="0" w:line="320" w:lineRule="auto"/>
              <w:jc w:val="center"/>
              <w:rPr>
                <w:color w:val="auto"/>
              </w:rPr>
            </w:pPr>
            <w:r>
              <w:rPr>
                <w:rFonts w:ascii="宋体" w:hAnsi="宋体" w:eastAsia="宋体" w:cs="宋体"/>
                <w:b w:val="0"/>
                <w:bCs w:val="0"/>
                <w:color w:val="auto"/>
                <w:sz w:val="21"/>
                <w:szCs w:val="21"/>
              </w:rPr>
              <w:t>600165.SH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C978E37">
            <w:pPr>
              <w:spacing w:before="0" w:after="0" w:line="320" w:lineRule="auto"/>
              <w:jc w:val="center"/>
              <w:rPr>
                <w:color w:val="auto"/>
              </w:rPr>
            </w:pPr>
            <w:r>
              <w:rPr>
                <w:rFonts w:ascii="宋体" w:hAnsi="宋体" w:eastAsia="宋体" w:cs="宋体"/>
                <w:b w:val="0"/>
                <w:bCs w:val="0"/>
                <w:color w:val="auto"/>
                <w:sz w:val="21"/>
                <w:szCs w:val="21"/>
              </w:rPr>
              <w:t>ST 宁科</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54EEB1B">
            <w:pPr>
              <w:spacing w:before="0" w:after="0" w:line="320" w:lineRule="auto"/>
              <w:jc w:val="center"/>
              <w:rPr>
                <w:color w:val="auto"/>
              </w:rPr>
            </w:pPr>
          </w:p>
        </w:tc>
      </w:tr>
      <w:tr w14:paraId="393D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7CEDA82">
            <w:pPr>
              <w:spacing w:before="0" w:after="0" w:line="320" w:lineRule="auto"/>
              <w:jc w:val="center"/>
              <w:rPr>
                <w:color w:val="auto"/>
              </w:rPr>
            </w:pPr>
            <w:r>
              <w:rPr>
                <w:rFonts w:ascii="宋体" w:hAnsi="宋体" w:eastAsia="宋体" w:cs="宋体"/>
                <w:b w:val="0"/>
                <w:bCs w:val="0"/>
                <w:color w:val="auto"/>
                <w:sz w:val="21"/>
                <w:szCs w:val="21"/>
              </w:rPr>
              <w:t>化工原料</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59EFB8D">
            <w:pPr>
              <w:spacing w:before="0" w:after="0" w:line="320" w:lineRule="auto"/>
              <w:jc w:val="center"/>
              <w:rPr>
                <w:color w:val="auto"/>
              </w:rPr>
            </w:pPr>
            <w:r>
              <w:rPr>
                <w:rFonts w:ascii="宋体" w:hAnsi="宋体" w:eastAsia="宋体" w:cs="宋体"/>
                <w:b w:val="0"/>
                <w:bCs w:val="0"/>
                <w:color w:val="auto"/>
                <w:sz w:val="21"/>
                <w:szCs w:val="21"/>
              </w:rPr>
              <w:t>600230.SH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2F1642E">
            <w:pPr>
              <w:spacing w:before="0" w:after="0" w:line="320" w:lineRule="auto"/>
              <w:jc w:val="center"/>
              <w:rPr>
                <w:color w:val="auto"/>
              </w:rPr>
            </w:pPr>
            <w:r>
              <w:rPr>
                <w:rFonts w:ascii="宋体" w:hAnsi="宋体" w:eastAsia="宋体" w:cs="宋体"/>
                <w:b w:val="0"/>
                <w:bCs w:val="0"/>
                <w:color w:val="auto"/>
                <w:sz w:val="21"/>
                <w:szCs w:val="21"/>
              </w:rPr>
              <w:t>沧州大化</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C77927D">
            <w:pPr>
              <w:spacing w:before="0" w:after="0" w:line="320" w:lineRule="auto"/>
              <w:jc w:val="center"/>
              <w:rPr>
                <w:color w:val="auto"/>
              </w:rPr>
            </w:pPr>
          </w:p>
        </w:tc>
      </w:tr>
      <w:tr w14:paraId="0656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2ECAF2A">
            <w:pPr>
              <w:spacing w:before="0" w:after="0" w:line="320" w:lineRule="auto"/>
              <w:jc w:val="center"/>
              <w:rPr>
                <w:color w:val="auto"/>
              </w:rPr>
            </w:pPr>
            <w:r>
              <w:rPr>
                <w:rFonts w:ascii="宋体" w:hAnsi="宋体" w:eastAsia="宋体" w:cs="宋体"/>
                <w:b w:val="0"/>
                <w:bCs w:val="0"/>
                <w:color w:val="auto"/>
                <w:sz w:val="21"/>
                <w:szCs w:val="21"/>
              </w:rPr>
              <w:t>半导体</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2AA9FC1">
            <w:pPr>
              <w:spacing w:before="0" w:after="0" w:line="320" w:lineRule="auto"/>
              <w:jc w:val="center"/>
              <w:rPr>
                <w:color w:val="auto"/>
              </w:rPr>
            </w:pPr>
            <w:r>
              <w:rPr>
                <w:rFonts w:ascii="宋体" w:hAnsi="宋体" w:eastAsia="宋体" w:cs="宋体"/>
                <w:b w:val="0"/>
                <w:bCs w:val="0"/>
                <w:color w:val="auto"/>
                <w:sz w:val="21"/>
                <w:szCs w:val="21"/>
              </w:rPr>
              <w:t>600171.SH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0C477C1">
            <w:pPr>
              <w:spacing w:before="0" w:after="0" w:line="320" w:lineRule="auto"/>
              <w:jc w:val="center"/>
              <w:rPr>
                <w:color w:val="auto"/>
              </w:rPr>
            </w:pPr>
            <w:r>
              <w:rPr>
                <w:rFonts w:ascii="宋体" w:hAnsi="宋体" w:eastAsia="宋体" w:cs="宋体"/>
                <w:b w:val="0"/>
                <w:bCs w:val="0"/>
                <w:color w:val="auto"/>
                <w:sz w:val="21"/>
                <w:szCs w:val="21"/>
              </w:rPr>
              <w:t>上海贝岭</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A87C713">
            <w:pPr>
              <w:spacing w:before="0" w:after="0" w:line="320" w:lineRule="auto"/>
              <w:jc w:val="center"/>
              <w:rPr>
                <w:color w:val="auto"/>
              </w:rPr>
            </w:pPr>
          </w:p>
        </w:tc>
      </w:tr>
      <w:tr w14:paraId="4EA3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D09F56E">
            <w:pPr>
              <w:spacing w:before="0" w:after="0" w:line="320" w:lineRule="auto"/>
              <w:jc w:val="center"/>
              <w:rPr>
                <w:color w:val="auto"/>
              </w:rPr>
            </w:pPr>
            <w:r>
              <w:rPr>
                <w:rFonts w:ascii="宋体" w:hAnsi="宋体" w:eastAsia="宋体" w:cs="宋体"/>
                <w:b w:val="0"/>
                <w:bCs w:val="0"/>
                <w:color w:val="auto"/>
                <w:sz w:val="21"/>
                <w:szCs w:val="21"/>
              </w:rPr>
              <w:t>半导体</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E5FA941">
            <w:pPr>
              <w:spacing w:before="0" w:after="0" w:line="320" w:lineRule="auto"/>
              <w:jc w:val="center"/>
              <w:rPr>
                <w:color w:val="auto"/>
              </w:rPr>
            </w:pPr>
            <w:r>
              <w:rPr>
                <w:rFonts w:ascii="宋体" w:hAnsi="宋体" w:eastAsia="宋体" w:cs="宋体"/>
                <w:b w:val="0"/>
                <w:bCs w:val="0"/>
                <w:color w:val="auto"/>
                <w:sz w:val="21"/>
                <w:szCs w:val="21"/>
              </w:rPr>
              <w:t>600206.SH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78113A9">
            <w:pPr>
              <w:spacing w:before="0" w:after="0" w:line="320" w:lineRule="auto"/>
              <w:jc w:val="center"/>
              <w:rPr>
                <w:color w:val="auto"/>
              </w:rPr>
            </w:pPr>
            <w:r>
              <w:rPr>
                <w:rFonts w:ascii="宋体" w:hAnsi="宋体" w:eastAsia="宋体" w:cs="宋体"/>
                <w:b w:val="0"/>
                <w:bCs w:val="0"/>
                <w:color w:val="auto"/>
                <w:sz w:val="21"/>
                <w:szCs w:val="21"/>
              </w:rPr>
              <w:t>有研新材</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1AB3F2D">
            <w:pPr>
              <w:spacing w:before="0" w:after="0" w:line="320" w:lineRule="auto"/>
              <w:jc w:val="center"/>
              <w:rPr>
                <w:color w:val="auto"/>
              </w:rPr>
            </w:pPr>
          </w:p>
        </w:tc>
      </w:tr>
      <w:tr w14:paraId="6DAC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E9D870D">
            <w:pPr>
              <w:spacing w:before="0" w:after="0" w:line="320" w:lineRule="auto"/>
              <w:jc w:val="center"/>
              <w:rPr>
                <w:color w:val="auto"/>
              </w:rPr>
            </w:pPr>
            <w:r>
              <w:rPr>
                <w:rFonts w:ascii="宋体" w:hAnsi="宋体" w:eastAsia="宋体" w:cs="宋体"/>
                <w:b w:val="0"/>
                <w:bCs w:val="0"/>
                <w:color w:val="auto"/>
                <w:sz w:val="21"/>
                <w:szCs w:val="21"/>
              </w:rPr>
              <w:t>半导体</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ADAA788">
            <w:pPr>
              <w:spacing w:before="0" w:after="0" w:line="320" w:lineRule="auto"/>
              <w:jc w:val="center"/>
              <w:rPr>
                <w:color w:val="auto"/>
              </w:rPr>
            </w:pPr>
            <w:r>
              <w:rPr>
                <w:rFonts w:ascii="宋体" w:hAnsi="宋体" w:eastAsia="宋体" w:cs="宋体"/>
                <w:b w:val="0"/>
                <w:bCs w:val="0"/>
                <w:color w:val="auto"/>
                <w:sz w:val="21"/>
                <w:szCs w:val="21"/>
              </w:rPr>
              <w:t>600520.SH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AE40850">
            <w:pPr>
              <w:spacing w:before="0" w:after="0" w:line="320" w:lineRule="auto"/>
              <w:jc w:val="center"/>
              <w:rPr>
                <w:color w:val="auto"/>
              </w:rPr>
            </w:pPr>
            <w:r>
              <w:rPr>
                <w:rFonts w:ascii="宋体" w:hAnsi="宋体" w:eastAsia="宋体" w:cs="宋体"/>
                <w:b w:val="0"/>
                <w:bCs w:val="0"/>
                <w:color w:val="auto"/>
                <w:sz w:val="21"/>
                <w:szCs w:val="21"/>
              </w:rPr>
              <w:t>三佳科技</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49558F5">
            <w:pPr>
              <w:spacing w:before="0" w:after="0" w:line="320" w:lineRule="auto"/>
              <w:jc w:val="center"/>
              <w:rPr>
                <w:color w:val="auto"/>
              </w:rPr>
            </w:pPr>
          </w:p>
        </w:tc>
      </w:tr>
      <w:tr w14:paraId="2DF0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8AA4C68">
            <w:pPr>
              <w:spacing w:before="0" w:after="0" w:line="320" w:lineRule="auto"/>
              <w:jc w:val="center"/>
              <w:rPr>
                <w:color w:val="auto"/>
              </w:rPr>
            </w:pPr>
            <w:r>
              <w:rPr>
                <w:rFonts w:ascii="宋体" w:hAnsi="宋体" w:eastAsia="宋体" w:cs="宋体"/>
                <w:b w:val="0"/>
                <w:bCs w:val="0"/>
                <w:color w:val="auto"/>
                <w:sz w:val="21"/>
                <w:szCs w:val="21"/>
              </w:rPr>
              <w:t>半导体</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33EB89E">
            <w:pPr>
              <w:spacing w:before="0" w:after="0" w:line="320" w:lineRule="auto"/>
              <w:jc w:val="center"/>
              <w:rPr>
                <w:color w:val="auto"/>
              </w:rPr>
            </w:pPr>
            <w:r>
              <w:rPr>
                <w:rFonts w:ascii="宋体" w:hAnsi="宋体" w:eastAsia="宋体" w:cs="宋体"/>
                <w:b w:val="0"/>
                <w:bCs w:val="0"/>
                <w:color w:val="auto"/>
                <w:sz w:val="21"/>
                <w:szCs w:val="21"/>
              </w:rPr>
              <w:t>600584.SH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E492F47">
            <w:pPr>
              <w:spacing w:before="0" w:after="0" w:line="320" w:lineRule="auto"/>
              <w:jc w:val="center"/>
              <w:rPr>
                <w:color w:val="auto"/>
              </w:rPr>
            </w:pPr>
            <w:r>
              <w:rPr>
                <w:rFonts w:ascii="宋体" w:hAnsi="宋体" w:eastAsia="宋体" w:cs="宋体"/>
                <w:b w:val="0"/>
                <w:bCs w:val="0"/>
                <w:color w:val="auto"/>
                <w:sz w:val="21"/>
                <w:szCs w:val="21"/>
              </w:rPr>
              <w:t>长电科技</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5D6E7DF">
            <w:pPr>
              <w:spacing w:before="0" w:after="0" w:line="320" w:lineRule="auto"/>
              <w:jc w:val="center"/>
              <w:rPr>
                <w:color w:val="auto"/>
              </w:rPr>
            </w:pPr>
          </w:p>
        </w:tc>
      </w:tr>
      <w:tr w14:paraId="4F46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D16FD1C">
            <w:pPr>
              <w:spacing w:before="0" w:after="0" w:line="320" w:lineRule="auto"/>
              <w:jc w:val="center"/>
              <w:rPr>
                <w:color w:val="auto"/>
              </w:rPr>
            </w:pPr>
            <w:r>
              <w:rPr>
                <w:rFonts w:ascii="宋体" w:hAnsi="宋体" w:eastAsia="宋体" w:cs="宋体"/>
                <w:b w:val="0"/>
                <w:bCs w:val="0"/>
                <w:color w:val="auto"/>
                <w:sz w:val="21"/>
                <w:szCs w:val="21"/>
              </w:rPr>
              <w:t>汽车整车</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F3A2158">
            <w:pPr>
              <w:spacing w:before="0" w:after="0" w:line="320" w:lineRule="auto"/>
              <w:jc w:val="center"/>
              <w:rPr>
                <w:color w:val="auto"/>
              </w:rPr>
            </w:pPr>
            <w:r>
              <w:rPr>
                <w:rFonts w:ascii="宋体" w:hAnsi="宋体" w:eastAsia="宋体" w:cs="宋体"/>
                <w:b w:val="0"/>
                <w:bCs w:val="0"/>
                <w:color w:val="auto"/>
                <w:sz w:val="21"/>
                <w:szCs w:val="21"/>
              </w:rPr>
              <w:t>600006.SH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5228D82">
            <w:pPr>
              <w:spacing w:before="0" w:after="0" w:line="320" w:lineRule="auto"/>
              <w:jc w:val="center"/>
              <w:rPr>
                <w:color w:val="auto"/>
              </w:rPr>
            </w:pPr>
            <w:r>
              <w:rPr>
                <w:rFonts w:ascii="宋体" w:hAnsi="宋体" w:eastAsia="宋体" w:cs="宋体"/>
                <w:b w:val="0"/>
                <w:bCs w:val="0"/>
                <w:color w:val="auto"/>
                <w:sz w:val="21"/>
                <w:szCs w:val="21"/>
              </w:rPr>
              <w:t>东风股份</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83830A3">
            <w:pPr>
              <w:spacing w:before="0" w:after="0" w:line="320" w:lineRule="auto"/>
              <w:jc w:val="center"/>
              <w:rPr>
                <w:color w:val="auto"/>
              </w:rPr>
            </w:pPr>
          </w:p>
        </w:tc>
      </w:tr>
      <w:tr w14:paraId="11B6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1DE7A4B">
            <w:pPr>
              <w:spacing w:before="0" w:after="0" w:line="320" w:lineRule="auto"/>
              <w:jc w:val="center"/>
              <w:rPr>
                <w:color w:val="auto"/>
              </w:rPr>
            </w:pPr>
            <w:r>
              <w:rPr>
                <w:rFonts w:ascii="宋体" w:hAnsi="宋体" w:eastAsia="宋体" w:cs="宋体"/>
                <w:b w:val="0"/>
                <w:bCs w:val="0"/>
                <w:color w:val="auto"/>
                <w:sz w:val="21"/>
                <w:szCs w:val="21"/>
              </w:rPr>
              <w:t>汽车整车</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B576623">
            <w:pPr>
              <w:spacing w:before="0" w:after="0" w:line="320" w:lineRule="auto"/>
              <w:jc w:val="center"/>
              <w:rPr>
                <w:color w:val="auto"/>
              </w:rPr>
            </w:pPr>
            <w:r>
              <w:rPr>
                <w:rFonts w:ascii="宋体" w:hAnsi="宋体" w:eastAsia="宋体" w:cs="宋体"/>
                <w:b w:val="0"/>
                <w:bCs w:val="0"/>
                <w:color w:val="auto"/>
                <w:sz w:val="21"/>
                <w:szCs w:val="21"/>
              </w:rPr>
              <w:t>600066.SH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9904F89">
            <w:pPr>
              <w:spacing w:before="0" w:after="0" w:line="320" w:lineRule="auto"/>
              <w:jc w:val="center"/>
              <w:rPr>
                <w:color w:val="auto"/>
              </w:rPr>
            </w:pPr>
            <w:r>
              <w:rPr>
                <w:rFonts w:ascii="宋体" w:hAnsi="宋体" w:eastAsia="宋体" w:cs="宋体"/>
                <w:b w:val="0"/>
                <w:bCs w:val="0"/>
                <w:color w:val="auto"/>
                <w:sz w:val="21"/>
                <w:szCs w:val="21"/>
              </w:rPr>
              <w:t>宇通客车</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2C9F87A">
            <w:pPr>
              <w:spacing w:before="0" w:after="0" w:line="320" w:lineRule="auto"/>
              <w:jc w:val="center"/>
              <w:rPr>
                <w:color w:val="auto"/>
              </w:rPr>
            </w:pPr>
          </w:p>
        </w:tc>
      </w:tr>
      <w:tr w14:paraId="1885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E93B4FD">
            <w:pPr>
              <w:spacing w:before="0" w:after="0" w:line="320" w:lineRule="auto"/>
              <w:jc w:val="center"/>
              <w:rPr>
                <w:color w:val="auto"/>
              </w:rPr>
            </w:pPr>
            <w:r>
              <w:rPr>
                <w:rFonts w:ascii="宋体" w:hAnsi="宋体" w:eastAsia="宋体" w:cs="宋体"/>
                <w:b w:val="0"/>
                <w:bCs w:val="0"/>
                <w:color w:val="auto"/>
                <w:sz w:val="21"/>
                <w:szCs w:val="21"/>
              </w:rPr>
              <w:t>汽车整车</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102A7EF">
            <w:pPr>
              <w:spacing w:before="0" w:after="0" w:line="320" w:lineRule="auto"/>
              <w:jc w:val="center"/>
              <w:rPr>
                <w:color w:val="auto"/>
              </w:rPr>
            </w:pPr>
            <w:r>
              <w:rPr>
                <w:rFonts w:ascii="宋体" w:hAnsi="宋体" w:eastAsia="宋体" w:cs="宋体"/>
                <w:b w:val="0"/>
                <w:bCs w:val="0"/>
                <w:color w:val="auto"/>
                <w:sz w:val="21"/>
                <w:szCs w:val="21"/>
              </w:rPr>
              <w:t>600099.SH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16D5F18">
            <w:pPr>
              <w:spacing w:before="0" w:after="0" w:line="320" w:lineRule="auto"/>
              <w:jc w:val="center"/>
              <w:rPr>
                <w:color w:val="auto"/>
              </w:rPr>
            </w:pPr>
            <w:r>
              <w:rPr>
                <w:rFonts w:ascii="宋体" w:hAnsi="宋体" w:eastAsia="宋体" w:cs="宋体"/>
                <w:b w:val="0"/>
                <w:bCs w:val="0"/>
                <w:color w:val="auto"/>
                <w:sz w:val="21"/>
                <w:szCs w:val="21"/>
              </w:rPr>
              <w:t>林海股份</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22DBA63">
            <w:pPr>
              <w:spacing w:before="0" w:after="0" w:line="320" w:lineRule="auto"/>
              <w:jc w:val="center"/>
              <w:rPr>
                <w:color w:val="auto"/>
              </w:rPr>
            </w:pPr>
          </w:p>
        </w:tc>
      </w:tr>
      <w:tr w14:paraId="35F5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D121646">
            <w:pPr>
              <w:spacing w:before="0" w:after="0" w:line="320" w:lineRule="auto"/>
              <w:jc w:val="center"/>
              <w:rPr>
                <w:color w:val="auto"/>
              </w:rPr>
            </w:pPr>
            <w:r>
              <w:rPr>
                <w:rFonts w:ascii="宋体" w:hAnsi="宋体" w:eastAsia="宋体" w:cs="宋体"/>
                <w:b w:val="0"/>
                <w:bCs w:val="0"/>
                <w:color w:val="auto"/>
                <w:sz w:val="21"/>
                <w:szCs w:val="21"/>
              </w:rPr>
              <w:t>汽车整车</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E5C6434">
            <w:pPr>
              <w:spacing w:before="0" w:after="0" w:line="320" w:lineRule="auto"/>
              <w:jc w:val="center"/>
              <w:rPr>
                <w:color w:val="auto"/>
              </w:rPr>
            </w:pPr>
            <w:r>
              <w:rPr>
                <w:rFonts w:ascii="宋体" w:hAnsi="宋体" w:eastAsia="宋体" w:cs="宋体"/>
                <w:b w:val="0"/>
                <w:bCs w:val="0"/>
                <w:color w:val="auto"/>
                <w:sz w:val="21"/>
                <w:szCs w:val="21"/>
              </w:rPr>
              <w:t>600104.SH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6915185">
            <w:pPr>
              <w:spacing w:before="0" w:after="0" w:line="320" w:lineRule="auto"/>
              <w:jc w:val="center"/>
              <w:rPr>
                <w:color w:val="auto"/>
              </w:rPr>
            </w:pPr>
            <w:r>
              <w:rPr>
                <w:rFonts w:ascii="宋体" w:hAnsi="宋体" w:eastAsia="宋体" w:cs="宋体"/>
                <w:b w:val="0"/>
                <w:bCs w:val="0"/>
                <w:color w:val="auto"/>
                <w:sz w:val="21"/>
                <w:szCs w:val="21"/>
              </w:rPr>
              <w:t>上汽集团</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D9144A7">
            <w:pPr>
              <w:spacing w:before="0" w:after="0" w:line="320" w:lineRule="auto"/>
              <w:jc w:val="center"/>
              <w:rPr>
                <w:color w:val="auto"/>
              </w:rPr>
            </w:pPr>
            <w:r>
              <w:rPr>
                <w:rFonts w:ascii="宋体" w:hAnsi="宋体" w:eastAsia="宋体" w:cs="宋体"/>
                <w:b w:val="0"/>
                <w:bCs w:val="0"/>
                <w:color w:val="auto"/>
                <w:sz w:val="21"/>
                <w:szCs w:val="21"/>
              </w:rPr>
              <w:t>行业现金流龙头</w:t>
            </w:r>
          </w:p>
        </w:tc>
      </w:tr>
      <w:tr w14:paraId="4F9B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C00F4AB">
            <w:pPr>
              <w:spacing w:before="0" w:after="0" w:line="320" w:lineRule="auto"/>
              <w:jc w:val="center"/>
              <w:rPr>
                <w:color w:val="auto"/>
              </w:rPr>
            </w:pPr>
            <w:r>
              <w:rPr>
                <w:rFonts w:ascii="宋体" w:hAnsi="宋体" w:eastAsia="宋体" w:cs="宋体"/>
                <w:b w:val="0"/>
                <w:bCs w:val="0"/>
                <w:color w:val="auto"/>
                <w:sz w:val="21"/>
                <w:szCs w:val="21"/>
              </w:rPr>
              <w:t>汽车整车</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492297F">
            <w:pPr>
              <w:spacing w:before="0" w:after="0" w:line="320" w:lineRule="auto"/>
              <w:jc w:val="center"/>
              <w:rPr>
                <w:color w:val="auto"/>
              </w:rPr>
            </w:pPr>
            <w:r>
              <w:rPr>
                <w:rFonts w:ascii="宋体" w:hAnsi="宋体" w:eastAsia="宋体" w:cs="宋体"/>
                <w:b w:val="0"/>
                <w:bCs w:val="0"/>
                <w:color w:val="auto"/>
                <w:sz w:val="21"/>
                <w:szCs w:val="21"/>
              </w:rPr>
              <w:t>600166.SH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A289F15">
            <w:pPr>
              <w:spacing w:before="0" w:after="0" w:line="320" w:lineRule="auto"/>
              <w:jc w:val="center"/>
              <w:rPr>
                <w:color w:val="auto"/>
              </w:rPr>
            </w:pPr>
            <w:r>
              <w:rPr>
                <w:rFonts w:ascii="宋体" w:hAnsi="宋体" w:eastAsia="宋体" w:cs="宋体"/>
                <w:b w:val="0"/>
                <w:bCs w:val="0"/>
                <w:color w:val="auto"/>
                <w:sz w:val="21"/>
                <w:szCs w:val="21"/>
              </w:rPr>
              <w:t>福田汽车</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E57880F">
            <w:pPr>
              <w:spacing w:before="0" w:after="0" w:line="320" w:lineRule="auto"/>
              <w:jc w:val="center"/>
              <w:rPr>
                <w:color w:val="auto"/>
              </w:rPr>
            </w:pPr>
          </w:p>
        </w:tc>
      </w:tr>
      <w:tr w14:paraId="7618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EE24F8E">
            <w:pPr>
              <w:spacing w:before="0" w:after="0" w:line="320" w:lineRule="auto"/>
              <w:jc w:val="center"/>
              <w:rPr>
                <w:color w:val="auto"/>
              </w:rPr>
            </w:pPr>
            <w:r>
              <w:rPr>
                <w:rFonts w:ascii="宋体" w:hAnsi="宋体" w:eastAsia="宋体" w:cs="宋体"/>
                <w:b w:val="0"/>
                <w:bCs w:val="0"/>
                <w:color w:val="auto"/>
                <w:sz w:val="21"/>
                <w:szCs w:val="21"/>
              </w:rPr>
              <w:t>白酒</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28CAAF5">
            <w:pPr>
              <w:spacing w:before="0" w:after="0" w:line="320" w:lineRule="auto"/>
              <w:jc w:val="center"/>
              <w:rPr>
                <w:color w:val="auto"/>
              </w:rPr>
            </w:pPr>
            <w:r>
              <w:rPr>
                <w:rFonts w:ascii="宋体" w:hAnsi="宋体" w:eastAsia="宋体" w:cs="宋体"/>
                <w:b w:val="0"/>
                <w:bCs w:val="0"/>
                <w:color w:val="auto"/>
                <w:sz w:val="21"/>
                <w:szCs w:val="21"/>
              </w:rPr>
              <w:t>600197.SH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11BDF54">
            <w:pPr>
              <w:spacing w:before="0" w:after="0" w:line="320" w:lineRule="auto"/>
              <w:jc w:val="center"/>
              <w:rPr>
                <w:color w:val="auto"/>
              </w:rPr>
            </w:pPr>
            <w:r>
              <w:rPr>
                <w:rFonts w:ascii="宋体" w:hAnsi="宋体" w:eastAsia="宋体" w:cs="宋体"/>
                <w:b w:val="0"/>
                <w:bCs w:val="0"/>
                <w:color w:val="auto"/>
                <w:sz w:val="21"/>
                <w:szCs w:val="21"/>
              </w:rPr>
              <w:t>伊力特</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DB8ADA3">
            <w:pPr>
              <w:spacing w:before="0" w:after="0" w:line="320" w:lineRule="auto"/>
              <w:jc w:val="center"/>
              <w:rPr>
                <w:color w:val="auto"/>
              </w:rPr>
            </w:pPr>
          </w:p>
        </w:tc>
      </w:tr>
      <w:tr w14:paraId="2488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EA793FF">
            <w:pPr>
              <w:spacing w:before="0" w:after="0" w:line="320" w:lineRule="auto"/>
              <w:jc w:val="center"/>
              <w:rPr>
                <w:color w:val="auto"/>
              </w:rPr>
            </w:pPr>
            <w:r>
              <w:rPr>
                <w:rFonts w:ascii="宋体" w:hAnsi="宋体" w:eastAsia="宋体" w:cs="宋体"/>
                <w:b w:val="0"/>
                <w:bCs w:val="0"/>
                <w:color w:val="auto"/>
                <w:sz w:val="21"/>
                <w:szCs w:val="21"/>
              </w:rPr>
              <w:t>白酒</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B5D92A3">
            <w:pPr>
              <w:spacing w:before="0" w:after="0" w:line="320" w:lineRule="auto"/>
              <w:jc w:val="center"/>
              <w:rPr>
                <w:color w:val="auto"/>
              </w:rPr>
            </w:pPr>
            <w:r>
              <w:rPr>
                <w:rFonts w:ascii="宋体" w:hAnsi="宋体" w:eastAsia="宋体" w:cs="宋体"/>
                <w:b w:val="0"/>
                <w:bCs w:val="0"/>
                <w:color w:val="auto"/>
                <w:sz w:val="21"/>
                <w:szCs w:val="21"/>
              </w:rPr>
              <w:t>600199.SH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0C26536">
            <w:pPr>
              <w:spacing w:before="0" w:after="0" w:line="320" w:lineRule="auto"/>
              <w:jc w:val="center"/>
              <w:rPr>
                <w:color w:val="auto"/>
              </w:rPr>
            </w:pPr>
            <w:r>
              <w:rPr>
                <w:rFonts w:ascii="宋体" w:hAnsi="宋体" w:eastAsia="宋体" w:cs="宋体"/>
                <w:b w:val="0"/>
                <w:bCs w:val="0"/>
                <w:color w:val="auto"/>
                <w:sz w:val="21"/>
                <w:szCs w:val="21"/>
              </w:rPr>
              <w:t>金种子酒</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45ED498">
            <w:pPr>
              <w:spacing w:before="0" w:after="0" w:line="320" w:lineRule="auto"/>
              <w:jc w:val="center"/>
              <w:rPr>
                <w:color w:val="auto"/>
              </w:rPr>
            </w:pPr>
          </w:p>
        </w:tc>
      </w:tr>
      <w:tr w14:paraId="3277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0E119F9">
            <w:pPr>
              <w:spacing w:before="0" w:after="0" w:line="320" w:lineRule="auto"/>
              <w:jc w:val="center"/>
              <w:rPr>
                <w:color w:val="auto"/>
              </w:rPr>
            </w:pPr>
            <w:r>
              <w:rPr>
                <w:rFonts w:ascii="宋体" w:hAnsi="宋体" w:eastAsia="宋体" w:cs="宋体"/>
                <w:b w:val="0"/>
                <w:bCs w:val="0"/>
                <w:color w:val="auto"/>
                <w:sz w:val="21"/>
                <w:szCs w:val="21"/>
              </w:rPr>
              <w:t>白酒</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6A94D6A">
            <w:pPr>
              <w:spacing w:before="0" w:after="0" w:line="320" w:lineRule="auto"/>
              <w:jc w:val="center"/>
              <w:rPr>
                <w:color w:val="auto"/>
              </w:rPr>
            </w:pPr>
            <w:r>
              <w:rPr>
                <w:rFonts w:ascii="宋体" w:hAnsi="宋体" w:eastAsia="宋体" w:cs="宋体"/>
                <w:b w:val="0"/>
                <w:bCs w:val="0"/>
                <w:color w:val="auto"/>
                <w:sz w:val="21"/>
                <w:szCs w:val="21"/>
              </w:rPr>
              <w:t>600559.SH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C21F825">
            <w:pPr>
              <w:spacing w:before="0" w:after="0" w:line="320" w:lineRule="auto"/>
              <w:jc w:val="center"/>
              <w:rPr>
                <w:color w:val="auto"/>
              </w:rPr>
            </w:pPr>
            <w:r>
              <w:rPr>
                <w:rFonts w:ascii="宋体" w:hAnsi="宋体" w:eastAsia="宋体" w:cs="宋体"/>
                <w:b w:val="0"/>
                <w:bCs w:val="0"/>
                <w:color w:val="auto"/>
                <w:sz w:val="21"/>
                <w:szCs w:val="21"/>
              </w:rPr>
              <w:t>老白干酒</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FB2A2C5">
            <w:pPr>
              <w:spacing w:before="0" w:after="0" w:line="320" w:lineRule="auto"/>
              <w:jc w:val="center"/>
              <w:rPr>
                <w:color w:val="auto"/>
              </w:rPr>
            </w:pPr>
            <w:r>
              <w:rPr>
                <w:rFonts w:ascii="宋体" w:hAnsi="宋体" w:eastAsia="宋体" w:cs="宋体"/>
                <w:b w:val="0"/>
                <w:bCs w:val="0"/>
                <w:color w:val="auto"/>
                <w:sz w:val="21"/>
                <w:szCs w:val="21"/>
              </w:rPr>
              <w:t>行业现金流领先</w:t>
            </w:r>
          </w:p>
        </w:tc>
      </w:tr>
      <w:tr w14:paraId="4CD2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9FA36B3">
            <w:pPr>
              <w:spacing w:before="0" w:after="0" w:line="320" w:lineRule="auto"/>
              <w:jc w:val="center"/>
              <w:rPr>
                <w:color w:val="auto"/>
              </w:rPr>
            </w:pPr>
            <w:r>
              <w:rPr>
                <w:rFonts w:ascii="宋体" w:hAnsi="宋体" w:eastAsia="宋体" w:cs="宋体"/>
                <w:b w:val="0"/>
                <w:bCs w:val="0"/>
                <w:color w:val="auto"/>
                <w:sz w:val="21"/>
                <w:szCs w:val="21"/>
              </w:rPr>
              <w:t>纺织</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0BD2695">
            <w:pPr>
              <w:spacing w:before="0" w:after="0" w:line="320" w:lineRule="auto"/>
              <w:jc w:val="center"/>
              <w:rPr>
                <w:color w:val="auto"/>
              </w:rPr>
            </w:pPr>
            <w:r>
              <w:rPr>
                <w:rFonts w:ascii="宋体" w:hAnsi="宋体" w:eastAsia="宋体" w:cs="宋体"/>
                <w:b w:val="0"/>
                <w:bCs w:val="0"/>
                <w:color w:val="auto"/>
                <w:sz w:val="21"/>
                <w:szCs w:val="21"/>
              </w:rPr>
              <w:t>600156.SH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EEDB120">
            <w:pPr>
              <w:spacing w:before="0" w:after="0" w:line="320" w:lineRule="auto"/>
              <w:jc w:val="center"/>
              <w:rPr>
                <w:color w:val="auto"/>
              </w:rPr>
            </w:pPr>
            <w:r>
              <w:rPr>
                <w:rFonts w:ascii="宋体" w:hAnsi="宋体" w:eastAsia="宋体" w:cs="宋体"/>
                <w:b w:val="0"/>
                <w:bCs w:val="0"/>
                <w:color w:val="auto"/>
                <w:sz w:val="21"/>
                <w:szCs w:val="21"/>
              </w:rPr>
              <w:t>华升股份</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87E20F6">
            <w:pPr>
              <w:spacing w:before="0" w:after="0" w:line="320" w:lineRule="auto"/>
              <w:jc w:val="center"/>
              <w:rPr>
                <w:color w:val="auto"/>
              </w:rPr>
            </w:pPr>
          </w:p>
        </w:tc>
      </w:tr>
      <w:tr w14:paraId="56BF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8B0DECE">
            <w:pPr>
              <w:spacing w:before="0" w:after="0" w:line="320" w:lineRule="auto"/>
              <w:jc w:val="center"/>
              <w:rPr>
                <w:color w:val="auto"/>
              </w:rPr>
            </w:pPr>
            <w:r>
              <w:rPr>
                <w:rFonts w:ascii="宋体" w:hAnsi="宋体" w:eastAsia="宋体" w:cs="宋体"/>
                <w:b w:val="0"/>
                <w:bCs w:val="0"/>
                <w:color w:val="auto"/>
                <w:sz w:val="21"/>
                <w:szCs w:val="21"/>
              </w:rPr>
              <w:t>纺织</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09FBAF6">
            <w:pPr>
              <w:spacing w:before="0" w:after="0" w:line="320" w:lineRule="auto"/>
              <w:jc w:val="center"/>
              <w:rPr>
                <w:color w:val="auto"/>
              </w:rPr>
            </w:pPr>
            <w:r>
              <w:rPr>
                <w:rFonts w:ascii="宋体" w:hAnsi="宋体" w:eastAsia="宋体" w:cs="宋体"/>
                <w:b w:val="0"/>
                <w:bCs w:val="0"/>
                <w:color w:val="auto"/>
                <w:sz w:val="21"/>
                <w:szCs w:val="21"/>
              </w:rPr>
              <w:t>600987.SH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7C00665">
            <w:pPr>
              <w:spacing w:before="0" w:after="0" w:line="320" w:lineRule="auto"/>
              <w:jc w:val="center"/>
              <w:rPr>
                <w:color w:val="auto"/>
              </w:rPr>
            </w:pPr>
            <w:r>
              <w:rPr>
                <w:rFonts w:ascii="宋体" w:hAnsi="宋体" w:eastAsia="宋体" w:cs="宋体"/>
                <w:b w:val="0"/>
                <w:bCs w:val="0"/>
                <w:color w:val="auto"/>
                <w:sz w:val="21"/>
                <w:szCs w:val="21"/>
              </w:rPr>
              <w:t>航民股份</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74293EF">
            <w:pPr>
              <w:spacing w:before="0" w:after="0" w:line="320" w:lineRule="auto"/>
              <w:jc w:val="center"/>
              <w:rPr>
                <w:color w:val="auto"/>
              </w:rPr>
            </w:pPr>
          </w:p>
        </w:tc>
      </w:tr>
      <w:tr w14:paraId="52EF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213EB54">
            <w:pPr>
              <w:spacing w:before="0" w:after="0" w:line="320" w:lineRule="auto"/>
              <w:jc w:val="center"/>
              <w:rPr>
                <w:color w:val="auto"/>
              </w:rPr>
            </w:pPr>
            <w:r>
              <w:rPr>
                <w:rFonts w:ascii="宋体" w:hAnsi="宋体" w:eastAsia="宋体" w:cs="宋体"/>
                <w:b w:val="0"/>
                <w:bCs w:val="0"/>
                <w:color w:val="auto"/>
                <w:sz w:val="21"/>
                <w:szCs w:val="21"/>
              </w:rPr>
              <w:t>纺织</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4DD5EF0">
            <w:pPr>
              <w:spacing w:before="0" w:after="0" w:line="320" w:lineRule="auto"/>
              <w:jc w:val="center"/>
              <w:rPr>
                <w:color w:val="auto"/>
              </w:rPr>
            </w:pPr>
            <w:r>
              <w:rPr>
                <w:rFonts w:ascii="宋体" w:hAnsi="宋体" w:eastAsia="宋体" w:cs="宋体"/>
                <w:b w:val="0"/>
                <w:bCs w:val="0"/>
                <w:color w:val="auto"/>
                <w:sz w:val="21"/>
                <w:szCs w:val="21"/>
              </w:rPr>
              <w:t>601339.SH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976B430">
            <w:pPr>
              <w:spacing w:before="0" w:after="0" w:line="320" w:lineRule="auto"/>
              <w:jc w:val="center"/>
              <w:rPr>
                <w:color w:val="auto"/>
              </w:rPr>
            </w:pPr>
            <w:r>
              <w:rPr>
                <w:rFonts w:ascii="宋体" w:hAnsi="宋体" w:eastAsia="宋体" w:cs="宋体"/>
                <w:b w:val="0"/>
                <w:bCs w:val="0"/>
                <w:color w:val="auto"/>
                <w:sz w:val="21"/>
                <w:szCs w:val="21"/>
              </w:rPr>
              <w:t>百隆东方</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3813A2B">
            <w:pPr>
              <w:spacing w:before="0" w:after="0" w:line="320" w:lineRule="auto"/>
              <w:jc w:val="center"/>
              <w:rPr>
                <w:color w:val="auto"/>
              </w:rPr>
            </w:pPr>
          </w:p>
        </w:tc>
      </w:tr>
      <w:tr w14:paraId="0426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08AA045">
            <w:pPr>
              <w:spacing w:before="0" w:after="0" w:line="320" w:lineRule="auto"/>
              <w:jc w:val="center"/>
              <w:rPr>
                <w:color w:val="auto"/>
              </w:rPr>
            </w:pPr>
            <w:r>
              <w:rPr>
                <w:rFonts w:ascii="宋体" w:hAnsi="宋体" w:eastAsia="宋体" w:cs="宋体"/>
                <w:b w:val="0"/>
                <w:bCs w:val="0"/>
                <w:color w:val="auto"/>
                <w:sz w:val="21"/>
                <w:szCs w:val="21"/>
              </w:rPr>
              <w:t>纺织</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0E592B9">
            <w:pPr>
              <w:spacing w:before="0" w:after="0" w:line="320" w:lineRule="auto"/>
              <w:jc w:val="center"/>
              <w:rPr>
                <w:color w:val="auto"/>
              </w:rPr>
            </w:pPr>
            <w:r>
              <w:rPr>
                <w:rFonts w:ascii="宋体" w:hAnsi="宋体" w:eastAsia="宋体" w:cs="宋体"/>
                <w:b w:val="0"/>
                <w:bCs w:val="0"/>
                <w:color w:val="auto"/>
                <w:sz w:val="21"/>
                <w:szCs w:val="21"/>
              </w:rPr>
              <w:t>601599.SH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C7B1480">
            <w:pPr>
              <w:spacing w:before="0" w:after="0" w:line="320" w:lineRule="auto"/>
              <w:jc w:val="center"/>
              <w:rPr>
                <w:color w:val="auto"/>
              </w:rPr>
            </w:pPr>
            <w:r>
              <w:rPr>
                <w:rFonts w:ascii="宋体" w:hAnsi="宋体" w:eastAsia="宋体" w:cs="宋体"/>
                <w:b w:val="0"/>
                <w:bCs w:val="0"/>
                <w:color w:val="auto"/>
                <w:sz w:val="21"/>
                <w:szCs w:val="21"/>
              </w:rPr>
              <w:t>浙文影业</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A112BA3">
            <w:pPr>
              <w:spacing w:before="0" w:after="0" w:line="320" w:lineRule="auto"/>
              <w:jc w:val="center"/>
              <w:rPr>
                <w:color w:val="auto"/>
              </w:rPr>
            </w:pPr>
          </w:p>
        </w:tc>
      </w:tr>
      <w:tr w14:paraId="7F00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70C7084">
            <w:pPr>
              <w:spacing w:before="0" w:after="0" w:line="320" w:lineRule="auto"/>
              <w:jc w:val="center"/>
              <w:rPr>
                <w:color w:val="auto"/>
              </w:rPr>
            </w:pPr>
            <w:r>
              <w:rPr>
                <w:rFonts w:ascii="宋体" w:hAnsi="宋体" w:eastAsia="宋体" w:cs="宋体"/>
                <w:b w:val="0"/>
                <w:bCs w:val="0"/>
                <w:color w:val="auto"/>
                <w:sz w:val="21"/>
                <w:szCs w:val="21"/>
              </w:rPr>
              <w:t>食品</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BAFEFA5">
            <w:pPr>
              <w:spacing w:before="0" w:after="0" w:line="320" w:lineRule="auto"/>
              <w:jc w:val="center"/>
              <w:rPr>
                <w:color w:val="auto"/>
              </w:rPr>
            </w:pPr>
            <w:r>
              <w:rPr>
                <w:rFonts w:ascii="宋体" w:hAnsi="宋体" w:eastAsia="宋体" w:cs="宋体"/>
                <w:b w:val="0"/>
                <w:bCs w:val="0"/>
                <w:color w:val="auto"/>
                <w:sz w:val="21"/>
                <w:szCs w:val="21"/>
              </w:rPr>
              <w:t>600073.SH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56BF194">
            <w:pPr>
              <w:spacing w:before="0" w:after="0" w:line="320" w:lineRule="auto"/>
              <w:jc w:val="center"/>
              <w:rPr>
                <w:color w:val="auto"/>
              </w:rPr>
            </w:pPr>
            <w:r>
              <w:rPr>
                <w:rFonts w:ascii="宋体" w:hAnsi="宋体" w:eastAsia="宋体" w:cs="宋体"/>
                <w:b w:val="0"/>
                <w:bCs w:val="0"/>
                <w:color w:val="auto"/>
                <w:sz w:val="21"/>
                <w:szCs w:val="21"/>
              </w:rPr>
              <w:t>光明肉业</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2FEDABB">
            <w:pPr>
              <w:spacing w:before="0" w:after="0" w:line="320" w:lineRule="auto"/>
              <w:jc w:val="center"/>
              <w:rPr>
                <w:color w:val="auto"/>
              </w:rPr>
            </w:pPr>
          </w:p>
        </w:tc>
      </w:tr>
      <w:tr w14:paraId="084C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F55C3BC">
            <w:pPr>
              <w:spacing w:before="0" w:after="0" w:line="320" w:lineRule="auto"/>
              <w:jc w:val="center"/>
              <w:rPr>
                <w:color w:val="auto"/>
              </w:rPr>
            </w:pPr>
            <w:r>
              <w:rPr>
                <w:rFonts w:ascii="宋体" w:hAnsi="宋体" w:eastAsia="宋体" w:cs="宋体"/>
                <w:b w:val="0"/>
                <w:bCs w:val="0"/>
                <w:color w:val="auto"/>
                <w:sz w:val="21"/>
                <w:szCs w:val="21"/>
              </w:rPr>
              <w:t>食品</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E2A5367">
            <w:pPr>
              <w:spacing w:before="0" w:after="0" w:line="320" w:lineRule="auto"/>
              <w:jc w:val="center"/>
              <w:rPr>
                <w:color w:val="auto"/>
              </w:rPr>
            </w:pPr>
            <w:r>
              <w:rPr>
                <w:rFonts w:ascii="宋体" w:hAnsi="宋体" w:eastAsia="宋体" w:cs="宋体"/>
                <w:b w:val="0"/>
                <w:bCs w:val="0"/>
                <w:color w:val="auto"/>
                <w:sz w:val="21"/>
                <w:szCs w:val="21"/>
              </w:rPr>
              <w:t>600186.SH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8C430BD">
            <w:pPr>
              <w:spacing w:before="0" w:after="0" w:line="320" w:lineRule="auto"/>
              <w:jc w:val="center"/>
              <w:rPr>
                <w:color w:val="auto"/>
              </w:rPr>
            </w:pPr>
            <w:r>
              <w:rPr>
                <w:rFonts w:ascii="宋体" w:hAnsi="宋体" w:eastAsia="宋体" w:cs="宋体"/>
                <w:b w:val="0"/>
                <w:bCs w:val="0"/>
                <w:color w:val="auto"/>
                <w:sz w:val="21"/>
                <w:szCs w:val="21"/>
              </w:rPr>
              <w:t>莲花控股</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F9A9AA4">
            <w:pPr>
              <w:spacing w:before="0" w:after="0" w:line="320" w:lineRule="auto"/>
              <w:jc w:val="center"/>
              <w:rPr>
                <w:color w:val="auto"/>
              </w:rPr>
            </w:pPr>
          </w:p>
        </w:tc>
      </w:tr>
      <w:tr w14:paraId="511D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1F971B4">
            <w:pPr>
              <w:spacing w:before="0" w:after="0" w:line="320" w:lineRule="auto"/>
              <w:jc w:val="center"/>
              <w:rPr>
                <w:color w:val="auto"/>
              </w:rPr>
            </w:pPr>
            <w:r>
              <w:rPr>
                <w:rFonts w:ascii="宋体" w:hAnsi="宋体" w:eastAsia="宋体" w:cs="宋体"/>
                <w:b w:val="0"/>
                <w:bCs w:val="0"/>
                <w:color w:val="auto"/>
                <w:sz w:val="21"/>
                <w:szCs w:val="21"/>
              </w:rPr>
              <w:t>食品</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0913627">
            <w:pPr>
              <w:spacing w:before="0" w:after="0" w:line="320" w:lineRule="auto"/>
              <w:jc w:val="center"/>
              <w:rPr>
                <w:color w:val="auto"/>
              </w:rPr>
            </w:pPr>
            <w:r>
              <w:rPr>
                <w:rFonts w:ascii="宋体" w:hAnsi="宋体" w:eastAsia="宋体" w:cs="宋体"/>
                <w:b w:val="0"/>
                <w:bCs w:val="0"/>
                <w:color w:val="auto"/>
                <w:sz w:val="21"/>
                <w:szCs w:val="21"/>
              </w:rPr>
              <w:t>600191.SH</w:t>
            </w:r>
          </w:p>
        </w:tc>
        <w:tc>
          <w:tcPr>
            <w:tcW w:w="18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B3F3ED6">
            <w:pPr>
              <w:spacing w:before="0" w:after="0" w:line="320" w:lineRule="auto"/>
              <w:jc w:val="center"/>
              <w:rPr>
                <w:color w:val="auto"/>
              </w:rPr>
            </w:pPr>
            <w:r>
              <w:rPr>
                <w:rFonts w:ascii="宋体" w:hAnsi="宋体" w:eastAsia="宋体" w:cs="宋体"/>
                <w:b w:val="0"/>
                <w:bCs w:val="0"/>
                <w:color w:val="auto"/>
                <w:sz w:val="21"/>
                <w:szCs w:val="21"/>
              </w:rPr>
              <w:t>华资实业</w:t>
            </w:r>
          </w:p>
        </w:tc>
        <w:tc>
          <w:tcPr>
            <w:tcW w:w="416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BFE38EC">
            <w:pPr>
              <w:spacing w:before="0" w:after="0" w:line="320" w:lineRule="auto"/>
              <w:jc w:val="center"/>
              <w:rPr>
                <w:color w:val="auto"/>
              </w:rPr>
            </w:pPr>
          </w:p>
        </w:tc>
      </w:tr>
    </w:tbl>
    <w:p w14:paraId="1AA0581E">
      <w:pPr>
        <w:rPr>
          <w:color w:val="auto"/>
        </w:rPr>
      </w:pPr>
      <w:r>
        <w:rPr>
          <w:color w:val="auto"/>
        </w:rPr>
        <w:t xml:space="preserve"> </w:t>
      </w:r>
    </w:p>
    <w:p w14:paraId="23E3EE20">
      <w:pPr>
        <w:spacing w:before="0" w:after="0" w:line="360" w:lineRule="auto"/>
        <w:ind w:firstLine="480"/>
        <w:jc w:val="both"/>
        <w:rPr>
          <w:color w:val="auto"/>
        </w:rPr>
      </w:pPr>
      <w:r>
        <w:rPr>
          <w:rFonts w:ascii="宋体" w:hAnsi="宋体" w:eastAsia="宋体" w:cs="宋体"/>
          <w:color w:val="auto"/>
          <w:sz w:val="24"/>
          <w:szCs w:val="24"/>
        </w:rPr>
        <w:t>说明：行业分类沿用 Tushare Pro 接口在数据获取时点（2024 年）返回的字段值。个别公司因经营业务调整其当前主营所属可能与上表不同，本表仅作为本次分析的样本身份记录。</w:t>
      </w:r>
    </w:p>
    <w:p w14:paraId="63E4A8B0">
      <w:pPr>
        <w:pStyle w:val="2"/>
        <w:pageBreakBefore/>
        <w:spacing w:before="480" w:after="360"/>
        <w:jc w:val="center"/>
        <w:rPr>
          <w:color w:val="auto"/>
        </w:rPr>
      </w:pPr>
      <w:bookmarkStart w:id="35" w:name="_Toc1498"/>
      <w:r>
        <w:rPr>
          <w:rFonts w:ascii="黑体" w:hAnsi="黑体" w:eastAsia="黑体" w:cs="黑体"/>
          <w:b/>
          <w:bCs/>
          <w:color w:val="auto"/>
          <w:sz w:val="36"/>
          <w:szCs w:val="36"/>
        </w:rPr>
        <w:t>附录2  数据字典与字段说明</w:t>
      </w:r>
      <w:bookmarkEnd w:id="35"/>
    </w:p>
    <w:p w14:paraId="02C6FD8D">
      <w:pPr>
        <w:spacing w:before="0" w:after="0" w:line="360" w:lineRule="auto"/>
        <w:ind w:firstLine="480"/>
        <w:jc w:val="both"/>
        <w:rPr>
          <w:color w:val="auto"/>
        </w:rPr>
      </w:pPr>
      <w:r>
        <w:rPr>
          <w:rFonts w:ascii="宋体" w:hAnsi="宋体" w:eastAsia="宋体" w:cs="宋体"/>
          <w:color w:val="auto"/>
          <w:sz w:val="24"/>
          <w:szCs w:val="24"/>
        </w:rPr>
        <w:t>本研究最终保留的 19 个字段，按来源事实表分类整理如下表。所有字段口径与数据源文件中的 Excel 列保持一致。</w:t>
      </w:r>
    </w:p>
    <w:p w14:paraId="1E3F710D">
      <w:pPr>
        <w:rPr>
          <w:color w:val="auto"/>
        </w:rPr>
      </w:pPr>
      <w:r>
        <w:rPr>
          <w:color w:val="auto"/>
        </w:rPr>
        <w:t xml:space="preserve"> </w:t>
      </w:r>
    </w:p>
    <w:p w14:paraId="62CAF931">
      <w:pPr>
        <w:spacing w:before="60" w:after="120"/>
        <w:jc w:val="center"/>
        <w:rPr>
          <w:color w:val="auto"/>
        </w:rPr>
      </w:pPr>
      <w:r>
        <w:rPr>
          <w:rFonts w:ascii="宋体" w:hAnsi="宋体" w:eastAsia="宋体" w:cs="宋体"/>
          <w:b/>
          <w:bCs/>
          <w:color w:val="auto"/>
          <w:sz w:val="21"/>
          <w:szCs w:val="21"/>
        </w:rPr>
        <w:t>表附2-1  数据字典（19 个字段）</w:t>
      </w:r>
    </w:p>
    <w:tbl>
      <w:tblPr>
        <w:tblStyle w:val="14"/>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1600"/>
        <w:gridCol w:w="1200"/>
        <w:gridCol w:w="3200"/>
      </w:tblGrid>
      <w:tr w14:paraId="0EAB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4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00" w:type="dxa"/>
              <w:bottom w:w="80" w:type="dxa"/>
              <w:right w:w="100" w:type="dxa"/>
            </w:tcMar>
          </w:tcPr>
          <w:p w14:paraId="59289EDE">
            <w:pPr>
              <w:spacing w:before="0" w:after="0" w:line="320" w:lineRule="auto"/>
              <w:jc w:val="center"/>
              <w:rPr>
                <w:color w:val="auto"/>
              </w:rPr>
            </w:pPr>
            <w:r>
              <w:rPr>
                <w:rFonts w:ascii="宋体" w:hAnsi="宋体" w:eastAsia="宋体" w:cs="宋体"/>
                <w:b/>
                <w:bCs/>
                <w:color w:val="auto"/>
                <w:sz w:val="21"/>
                <w:szCs w:val="21"/>
              </w:rPr>
              <w:t>字段名称</w:t>
            </w:r>
          </w:p>
        </w:tc>
        <w:tc>
          <w:tcPr>
            <w:tcW w:w="16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00" w:type="dxa"/>
              <w:bottom w:w="80" w:type="dxa"/>
              <w:right w:w="100" w:type="dxa"/>
            </w:tcMar>
          </w:tcPr>
          <w:p w14:paraId="006B09F3">
            <w:pPr>
              <w:spacing w:before="0" w:after="0" w:line="320" w:lineRule="auto"/>
              <w:jc w:val="center"/>
              <w:rPr>
                <w:color w:val="auto"/>
              </w:rPr>
            </w:pPr>
            <w:r>
              <w:rPr>
                <w:rFonts w:ascii="宋体" w:hAnsi="宋体" w:eastAsia="宋体" w:cs="宋体"/>
                <w:b/>
                <w:bCs/>
                <w:color w:val="auto"/>
                <w:sz w:val="21"/>
                <w:szCs w:val="21"/>
              </w:rPr>
              <w:t>所在事实表</w:t>
            </w:r>
          </w:p>
        </w:tc>
        <w:tc>
          <w:tcPr>
            <w:tcW w:w="12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00" w:type="dxa"/>
              <w:bottom w:w="80" w:type="dxa"/>
              <w:right w:w="100" w:type="dxa"/>
            </w:tcMar>
          </w:tcPr>
          <w:p w14:paraId="726DD33A">
            <w:pPr>
              <w:spacing w:before="0" w:after="0" w:line="320" w:lineRule="auto"/>
              <w:jc w:val="center"/>
              <w:rPr>
                <w:color w:val="auto"/>
              </w:rPr>
            </w:pPr>
            <w:r>
              <w:rPr>
                <w:rFonts w:ascii="宋体" w:hAnsi="宋体" w:eastAsia="宋体" w:cs="宋体"/>
                <w:b/>
                <w:bCs/>
                <w:color w:val="auto"/>
                <w:sz w:val="21"/>
                <w:szCs w:val="21"/>
              </w:rPr>
              <w:t>单位</w:t>
            </w:r>
          </w:p>
        </w:tc>
        <w:tc>
          <w:tcPr>
            <w:tcW w:w="3200" w:type="dxa"/>
            <w:tcBorders>
              <w:top w:val="single" w:color="000000" w:sz="4" w:space="0"/>
              <w:left w:val="single" w:color="000000" w:sz="4" w:space="0"/>
              <w:bottom w:val="single" w:color="000000" w:sz="4" w:space="0"/>
              <w:right w:val="single" w:color="000000" w:sz="4" w:space="0"/>
            </w:tcBorders>
            <w:shd w:val="clear" w:color="auto" w:fill="D9E2F3"/>
            <w:tcMar>
              <w:top w:w="80" w:type="dxa"/>
              <w:left w:w="100" w:type="dxa"/>
              <w:bottom w:w="80" w:type="dxa"/>
              <w:right w:w="100" w:type="dxa"/>
            </w:tcMar>
          </w:tcPr>
          <w:p w14:paraId="3FE10726">
            <w:pPr>
              <w:spacing w:before="0" w:after="0" w:line="320" w:lineRule="auto"/>
              <w:jc w:val="center"/>
              <w:rPr>
                <w:color w:val="auto"/>
              </w:rPr>
            </w:pPr>
            <w:r>
              <w:rPr>
                <w:rFonts w:ascii="宋体" w:hAnsi="宋体" w:eastAsia="宋体" w:cs="宋体"/>
                <w:b/>
                <w:bCs/>
                <w:color w:val="auto"/>
                <w:sz w:val="21"/>
                <w:szCs w:val="21"/>
              </w:rPr>
              <w:t>取数口径与含义</w:t>
            </w:r>
          </w:p>
        </w:tc>
      </w:tr>
      <w:tr w14:paraId="0794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02E7777">
            <w:pPr>
              <w:spacing w:before="0" w:after="0" w:line="320" w:lineRule="auto"/>
              <w:jc w:val="center"/>
              <w:rPr>
                <w:color w:val="auto"/>
              </w:rPr>
            </w:pPr>
            <w:r>
              <w:rPr>
                <w:rFonts w:ascii="宋体" w:hAnsi="宋体" w:eastAsia="宋体" w:cs="宋体"/>
                <w:b w:val="0"/>
                <w:bCs w:val="0"/>
                <w:color w:val="auto"/>
                <w:sz w:val="21"/>
                <w:szCs w:val="21"/>
              </w:rPr>
              <w:t>股票代码</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85B50FF">
            <w:pPr>
              <w:spacing w:before="0" w:after="0" w:line="320" w:lineRule="auto"/>
              <w:jc w:val="center"/>
              <w:rPr>
                <w:color w:val="auto"/>
              </w:rPr>
            </w:pPr>
            <w:r>
              <w:rPr>
                <w:rFonts w:ascii="宋体" w:hAnsi="宋体" w:eastAsia="宋体" w:cs="宋体"/>
                <w:b w:val="0"/>
                <w:bCs w:val="0"/>
                <w:color w:val="auto"/>
                <w:sz w:val="21"/>
                <w:szCs w:val="21"/>
              </w:rPr>
              <w:t>公司基础信息表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FE41875">
            <w:pPr>
              <w:spacing w:before="0" w:after="0" w:line="320" w:lineRule="auto"/>
              <w:jc w:val="center"/>
              <w:rPr>
                <w:color w:val="auto"/>
              </w:rPr>
            </w:pPr>
            <w:r>
              <w:rPr>
                <w:rFonts w:ascii="宋体" w:hAnsi="宋体" w:eastAsia="宋体" w:cs="宋体"/>
                <w:b w:val="0"/>
                <w:bCs w:val="0"/>
                <w:color w:val="auto"/>
                <w:sz w:val="21"/>
                <w:szCs w:val="21"/>
              </w:rPr>
              <w:t>—</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89121B0">
            <w:pPr>
              <w:spacing w:before="0" w:after="0" w:line="320" w:lineRule="auto"/>
              <w:jc w:val="center"/>
              <w:rPr>
                <w:color w:val="auto"/>
              </w:rPr>
            </w:pPr>
            <w:r>
              <w:rPr>
                <w:rFonts w:ascii="宋体" w:hAnsi="宋体" w:eastAsia="宋体" w:cs="宋体"/>
                <w:b w:val="0"/>
                <w:bCs w:val="0"/>
                <w:color w:val="auto"/>
                <w:sz w:val="21"/>
                <w:szCs w:val="21"/>
              </w:rPr>
              <w:t>Tushare Pro 的 ts_code，沪市以 .SH 结尾</w:t>
            </w:r>
          </w:p>
        </w:tc>
      </w:tr>
      <w:tr w14:paraId="389D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0D66B6C">
            <w:pPr>
              <w:spacing w:before="0" w:after="0" w:line="320" w:lineRule="auto"/>
              <w:jc w:val="center"/>
              <w:rPr>
                <w:color w:val="auto"/>
              </w:rPr>
            </w:pPr>
            <w:r>
              <w:rPr>
                <w:rFonts w:ascii="宋体" w:hAnsi="宋体" w:eastAsia="宋体" w:cs="宋体"/>
                <w:b w:val="0"/>
                <w:bCs w:val="0"/>
                <w:color w:val="auto"/>
                <w:sz w:val="21"/>
                <w:szCs w:val="21"/>
              </w:rPr>
              <w:t>公司名称</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15D7DE7">
            <w:pPr>
              <w:spacing w:before="0" w:after="0" w:line="320" w:lineRule="auto"/>
              <w:jc w:val="center"/>
              <w:rPr>
                <w:color w:val="auto"/>
              </w:rPr>
            </w:pPr>
            <w:r>
              <w:rPr>
                <w:rFonts w:ascii="宋体" w:hAnsi="宋体" w:eastAsia="宋体" w:cs="宋体"/>
                <w:b w:val="0"/>
                <w:bCs w:val="0"/>
                <w:color w:val="auto"/>
                <w:sz w:val="21"/>
                <w:szCs w:val="21"/>
              </w:rPr>
              <w:t>公司基础信息表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DCF3863">
            <w:pPr>
              <w:spacing w:before="0" w:after="0" w:line="320" w:lineRule="auto"/>
              <w:jc w:val="center"/>
              <w:rPr>
                <w:color w:val="auto"/>
              </w:rPr>
            </w:pPr>
            <w:r>
              <w:rPr>
                <w:rFonts w:ascii="宋体" w:hAnsi="宋体" w:eastAsia="宋体" w:cs="宋体"/>
                <w:b w:val="0"/>
                <w:bCs w:val="0"/>
                <w:color w:val="auto"/>
                <w:sz w:val="21"/>
                <w:szCs w:val="21"/>
              </w:rPr>
              <w:t>—</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7E00791">
            <w:pPr>
              <w:spacing w:before="0" w:after="0" w:line="320" w:lineRule="auto"/>
              <w:jc w:val="center"/>
              <w:rPr>
                <w:color w:val="auto"/>
              </w:rPr>
            </w:pPr>
            <w:r>
              <w:rPr>
                <w:rFonts w:ascii="宋体" w:hAnsi="宋体" w:eastAsia="宋体" w:cs="宋体"/>
                <w:b w:val="0"/>
                <w:bCs w:val="0"/>
                <w:color w:val="auto"/>
                <w:sz w:val="21"/>
                <w:szCs w:val="21"/>
              </w:rPr>
              <w:t>上市公司中文简称</w:t>
            </w:r>
          </w:p>
        </w:tc>
      </w:tr>
      <w:tr w14:paraId="4134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D83301E">
            <w:pPr>
              <w:spacing w:before="0" w:after="0" w:line="320" w:lineRule="auto"/>
              <w:jc w:val="center"/>
              <w:rPr>
                <w:color w:val="auto"/>
              </w:rPr>
            </w:pPr>
            <w:r>
              <w:rPr>
                <w:rFonts w:ascii="宋体" w:hAnsi="宋体" w:eastAsia="宋体" w:cs="宋体"/>
                <w:b w:val="0"/>
                <w:bCs w:val="0"/>
                <w:color w:val="auto"/>
                <w:sz w:val="21"/>
                <w:szCs w:val="21"/>
              </w:rPr>
              <w:t>所属行业</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1E05B76">
            <w:pPr>
              <w:spacing w:before="0" w:after="0" w:line="320" w:lineRule="auto"/>
              <w:jc w:val="center"/>
              <w:rPr>
                <w:color w:val="auto"/>
              </w:rPr>
            </w:pPr>
            <w:r>
              <w:rPr>
                <w:rFonts w:ascii="宋体" w:hAnsi="宋体" w:eastAsia="宋体" w:cs="宋体"/>
                <w:b w:val="0"/>
                <w:bCs w:val="0"/>
                <w:color w:val="auto"/>
                <w:sz w:val="21"/>
                <w:szCs w:val="21"/>
              </w:rPr>
              <w:t>公司基础信息表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0715DBC">
            <w:pPr>
              <w:spacing w:before="0" w:after="0" w:line="320" w:lineRule="auto"/>
              <w:jc w:val="center"/>
              <w:rPr>
                <w:color w:val="auto"/>
              </w:rPr>
            </w:pPr>
            <w:r>
              <w:rPr>
                <w:rFonts w:ascii="宋体" w:hAnsi="宋体" w:eastAsia="宋体" w:cs="宋体"/>
                <w:b w:val="0"/>
                <w:bCs w:val="0"/>
                <w:color w:val="auto"/>
                <w:sz w:val="21"/>
                <w:szCs w:val="21"/>
              </w:rPr>
              <w:t>—</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B5CBD64">
            <w:pPr>
              <w:spacing w:before="0" w:after="0" w:line="320" w:lineRule="auto"/>
              <w:jc w:val="center"/>
              <w:rPr>
                <w:color w:val="auto"/>
              </w:rPr>
            </w:pPr>
            <w:r>
              <w:rPr>
                <w:rFonts w:ascii="宋体" w:hAnsi="宋体" w:eastAsia="宋体" w:cs="宋体"/>
                <w:b w:val="0"/>
                <w:bCs w:val="0"/>
                <w:color w:val="auto"/>
                <w:sz w:val="21"/>
                <w:szCs w:val="21"/>
              </w:rPr>
              <w:t>Tushare Pro 行业分类字段 industry</w:t>
            </w:r>
          </w:p>
        </w:tc>
      </w:tr>
      <w:tr w14:paraId="1325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69A0FCD">
            <w:pPr>
              <w:spacing w:before="0" w:after="0" w:line="320" w:lineRule="auto"/>
              <w:jc w:val="center"/>
              <w:rPr>
                <w:color w:val="auto"/>
              </w:rPr>
            </w:pPr>
            <w:r>
              <w:rPr>
                <w:rFonts w:ascii="宋体" w:hAnsi="宋体" w:eastAsia="宋体" w:cs="宋体"/>
                <w:b w:val="0"/>
                <w:bCs w:val="0"/>
                <w:color w:val="auto"/>
                <w:sz w:val="21"/>
                <w:szCs w:val="21"/>
              </w:rPr>
              <w:t>报告年度</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1AF3C44">
            <w:pPr>
              <w:spacing w:before="0" w:after="0" w:line="320" w:lineRule="auto"/>
              <w:jc w:val="center"/>
              <w:rPr>
                <w:color w:val="auto"/>
              </w:rPr>
            </w:pPr>
            <w:r>
              <w:rPr>
                <w:rFonts w:ascii="宋体" w:hAnsi="宋体" w:eastAsia="宋体" w:cs="宋体"/>
                <w:b w:val="0"/>
                <w:bCs w:val="0"/>
                <w:color w:val="auto"/>
                <w:sz w:val="21"/>
                <w:szCs w:val="21"/>
              </w:rPr>
              <w:t>现金流核心数据表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636106A">
            <w:pPr>
              <w:spacing w:before="0" w:after="0" w:line="320" w:lineRule="auto"/>
              <w:jc w:val="center"/>
              <w:rPr>
                <w:color w:val="auto"/>
              </w:rPr>
            </w:pPr>
            <w:r>
              <w:rPr>
                <w:rFonts w:ascii="宋体" w:hAnsi="宋体" w:eastAsia="宋体" w:cs="宋体"/>
                <w:b w:val="0"/>
                <w:bCs w:val="0"/>
                <w:color w:val="auto"/>
                <w:sz w:val="21"/>
                <w:szCs w:val="21"/>
              </w:rPr>
              <w:t>年</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4C908BA">
            <w:pPr>
              <w:spacing w:before="0" w:after="0" w:line="320" w:lineRule="auto"/>
              <w:jc w:val="center"/>
              <w:rPr>
                <w:color w:val="auto"/>
              </w:rPr>
            </w:pPr>
            <w:r>
              <w:rPr>
                <w:rFonts w:ascii="宋体" w:hAnsi="宋体" w:eastAsia="宋体" w:cs="宋体"/>
                <w:b w:val="0"/>
                <w:bCs w:val="0"/>
                <w:color w:val="auto"/>
                <w:sz w:val="21"/>
                <w:szCs w:val="21"/>
              </w:rPr>
              <w:t>年报报告期，统一为 12 月 31 日</w:t>
            </w:r>
          </w:p>
        </w:tc>
      </w:tr>
      <w:tr w14:paraId="4C6E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ABD84CE">
            <w:pPr>
              <w:spacing w:before="0" w:after="0" w:line="320" w:lineRule="auto"/>
              <w:jc w:val="center"/>
              <w:rPr>
                <w:color w:val="auto"/>
              </w:rPr>
            </w:pPr>
            <w:r>
              <w:rPr>
                <w:rFonts w:ascii="宋体" w:hAnsi="宋体" w:eastAsia="宋体" w:cs="宋体"/>
                <w:b w:val="0"/>
                <w:bCs w:val="0"/>
                <w:color w:val="auto"/>
                <w:sz w:val="21"/>
                <w:szCs w:val="21"/>
              </w:rPr>
              <w:t>公告日期</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900A696">
            <w:pPr>
              <w:spacing w:before="0" w:after="0" w:line="320" w:lineRule="auto"/>
              <w:jc w:val="center"/>
              <w:rPr>
                <w:color w:val="auto"/>
              </w:rPr>
            </w:pPr>
            <w:r>
              <w:rPr>
                <w:rFonts w:ascii="宋体" w:hAnsi="宋体" w:eastAsia="宋体" w:cs="宋体"/>
                <w:b w:val="0"/>
                <w:bCs w:val="0"/>
                <w:color w:val="auto"/>
                <w:sz w:val="21"/>
                <w:szCs w:val="21"/>
              </w:rPr>
              <w:t>现金流核心数据表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105FFD5">
            <w:pPr>
              <w:spacing w:before="0" w:after="0" w:line="320" w:lineRule="auto"/>
              <w:jc w:val="center"/>
              <w:rPr>
                <w:color w:val="auto"/>
              </w:rPr>
            </w:pPr>
            <w:r>
              <w:rPr>
                <w:rFonts w:ascii="宋体" w:hAnsi="宋体" w:eastAsia="宋体" w:cs="宋体"/>
                <w:b w:val="0"/>
                <w:bCs w:val="0"/>
                <w:color w:val="auto"/>
                <w:sz w:val="21"/>
                <w:szCs w:val="21"/>
              </w:rPr>
              <w:t>日期</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BC5775E">
            <w:pPr>
              <w:spacing w:before="0" w:after="0" w:line="320" w:lineRule="auto"/>
              <w:jc w:val="center"/>
              <w:rPr>
                <w:color w:val="auto"/>
              </w:rPr>
            </w:pPr>
            <w:r>
              <w:rPr>
                <w:rFonts w:ascii="宋体" w:hAnsi="宋体" w:eastAsia="宋体" w:cs="宋体"/>
                <w:b w:val="0"/>
                <w:bCs w:val="0"/>
                <w:color w:val="auto"/>
                <w:sz w:val="21"/>
                <w:szCs w:val="21"/>
              </w:rPr>
              <w:t>年报披露日期</w:t>
            </w:r>
          </w:p>
        </w:tc>
      </w:tr>
      <w:tr w14:paraId="7E60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7381F56">
            <w:pPr>
              <w:spacing w:before="0" w:after="0" w:line="320" w:lineRule="auto"/>
              <w:jc w:val="center"/>
              <w:rPr>
                <w:color w:val="auto"/>
              </w:rPr>
            </w:pPr>
            <w:r>
              <w:rPr>
                <w:rFonts w:ascii="宋体" w:hAnsi="宋体" w:eastAsia="宋体" w:cs="宋体"/>
                <w:b w:val="0"/>
                <w:bCs w:val="0"/>
                <w:color w:val="auto"/>
                <w:sz w:val="21"/>
                <w:szCs w:val="21"/>
              </w:rPr>
              <w:t>经营活动现金流净额</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A9875A4">
            <w:pPr>
              <w:spacing w:before="0" w:after="0" w:line="320" w:lineRule="auto"/>
              <w:jc w:val="center"/>
              <w:rPr>
                <w:color w:val="auto"/>
              </w:rPr>
            </w:pPr>
            <w:r>
              <w:rPr>
                <w:rFonts w:ascii="宋体" w:hAnsi="宋体" w:eastAsia="宋体" w:cs="宋体"/>
                <w:b w:val="0"/>
                <w:bCs w:val="0"/>
                <w:color w:val="auto"/>
                <w:sz w:val="21"/>
                <w:szCs w:val="21"/>
              </w:rPr>
              <w:t>现金流核心数据表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3D16F2F">
            <w:pPr>
              <w:spacing w:before="0" w:after="0" w:line="320" w:lineRule="auto"/>
              <w:jc w:val="center"/>
              <w:rPr>
                <w:color w:val="auto"/>
              </w:rPr>
            </w:pPr>
            <w:r>
              <w:rPr>
                <w:rFonts w:ascii="宋体" w:hAnsi="宋体" w:eastAsia="宋体" w:cs="宋体"/>
                <w:b w:val="0"/>
                <w:bCs w:val="0"/>
                <w:color w:val="auto"/>
                <w:sz w:val="21"/>
                <w:szCs w:val="21"/>
              </w:rPr>
              <w:t>亿元</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6F8880C">
            <w:pPr>
              <w:spacing w:before="0" w:after="0" w:line="320" w:lineRule="auto"/>
              <w:jc w:val="center"/>
              <w:rPr>
                <w:color w:val="auto"/>
              </w:rPr>
            </w:pPr>
            <w:r>
              <w:rPr>
                <w:rFonts w:ascii="宋体" w:hAnsi="宋体" w:eastAsia="宋体" w:cs="宋体"/>
                <w:b w:val="0"/>
                <w:bCs w:val="0"/>
                <w:color w:val="auto"/>
                <w:sz w:val="21"/>
                <w:szCs w:val="21"/>
              </w:rPr>
              <w:t>现金流量表中"经营活动产生的现金流量净额"，已由元换算为亿元</w:t>
            </w:r>
          </w:p>
        </w:tc>
      </w:tr>
      <w:tr w14:paraId="0523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915A14A">
            <w:pPr>
              <w:spacing w:before="0" w:after="0" w:line="320" w:lineRule="auto"/>
              <w:jc w:val="center"/>
              <w:rPr>
                <w:color w:val="auto"/>
              </w:rPr>
            </w:pPr>
            <w:r>
              <w:rPr>
                <w:rFonts w:ascii="宋体" w:hAnsi="宋体" w:eastAsia="宋体" w:cs="宋体"/>
                <w:b w:val="0"/>
                <w:bCs w:val="0"/>
                <w:color w:val="auto"/>
                <w:sz w:val="21"/>
                <w:szCs w:val="21"/>
              </w:rPr>
              <w:t>投资活动现金流净额</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7CC9D40">
            <w:pPr>
              <w:spacing w:before="0" w:after="0" w:line="320" w:lineRule="auto"/>
              <w:jc w:val="center"/>
              <w:rPr>
                <w:color w:val="auto"/>
              </w:rPr>
            </w:pPr>
            <w:r>
              <w:rPr>
                <w:rFonts w:ascii="宋体" w:hAnsi="宋体" w:eastAsia="宋体" w:cs="宋体"/>
                <w:b w:val="0"/>
                <w:bCs w:val="0"/>
                <w:color w:val="auto"/>
                <w:sz w:val="21"/>
                <w:szCs w:val="21"/>
              </w:rPr>
              <w:t>现金流核心数据表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5894B1E">
            <w:pPr>
              <w:spacing w:before="0" w:after="0" w:line="320" w:lineRule="auto"/>
              <w:jc w:val="center"/>
              <w:rPr>
                <w:color w:val="auto"/>
              </w:rPr>
            </w:pPr>
            <w:r>
              <w:rPr>
                <w:rFonts w:ascii="宋体" w:hAnsi="宋体" w:eastAsia="宋体" w:cs="宋体"/>
                <w:b w:val="0"/>
                <w:bCs w:val="0"/>
                <w:color w:val="auto"/>
                <w:sz w:val="21"/>
                <w:szCs w:val="21"/>
              </w:rPr>
              <w:t>亿元</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2E0A420">
            <w:pPr>
              <w:spacing w:before="0" w:after="0" w:line="320" w:lineRule="auto"/>
              <w:jc w:val="center"/>
              <w:rPr>
                <w:color w:val="auto"/>
              </w:rPr>
            </w:pPr>
            <w:r>
              <w:rPr>
                <w:rFonts w:ascii="宋体" w:hAnsi="宋体" w:eastAsia="宋体" w:cs="宋体"/>
                <w:b w:val="0"/>
                <w:bCs w:val="0"/>
                <w:color w:val="auto"/>
                <w:sz w:val="21"/>
                <w:szCs w:val="21"/>
              </w:rPr>
              <w:t>投资活动产生的现金流量净额</w:t>
            </w:r>
          </w:p>
        </w:tc>
      </w:tr>
      <w:tr w14:paraId="0598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E0405A8">
            <w:pPr>
              <w:spacing w:before="0" w:after="0" w:line="320" w:lineRule="auto"/>
              <w:jc w:val="center"/>
              <w:rPr>
                <w:color w:val="auto"/>
              </w:rPr>
            </w:pPr>
            <w:r>
              <w:rPr>
                <w:rFonts w:ascii="宋体" w:hAnsi="宋体" w:eastAsia="宋体" w:cs="宋体"/>
                <w:b w:val="0"/>
                <w:bCs w:val="0"/>
                <w:color w:val="auto"/>
                <w:sz w:val="21"/>
                <w:szCs w:val="21"/>
              </w:rPr>
              <w:t>筹资活动现金流净额</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C7C35C2">
            <w:pPr>
              <w:spacing w:before="0" w:after="0" w:line="320" w:lineRule="auto"/>
              <w:jc w:val="center"/>
              <w:rPr>
                <w:color w:val="auto"/>
              </w:rPr>
            </w:pPr>
            <w:r>
              <w:rPr>
                <w:rFonts w:ascii="宋体" w:hAnsi="宋体" w:eastAsia="宋体" w:cs="宋体"/>
                <w:b w:val="0"/>
                <w:bCs w:val="0"/>
                <w:color w:val="auto"/>
                <w:sz w:val="21"/>
                <w:szCs w:val="21"/>
              </w:rPr>
              <w:t>现金流核心数据表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AEA171D">
            <w:pPr>
              <w:spacing w:before="0" w:after="0" w:line="320" w:lineRule="auto"/>
              <w:jc w:val="center"/>
              <w:rPr>
                <w:color w:val="auto"/>
              </w:rPr>
            </w:pPr>
            <w:r>
              <w:rPr>
                <w:rFonts w:ascii="宋体" w:hAnsi="宋体" w:eastAsia="宋体" w:cs="宋体"/>
                <w:b w:val="0"/>
                <w:bCs w:val="0"/>
                <w:color w:val="auto"/>
                <w:sz w:val="21"/>
                <w:szCs w:val="21"/>
              </w:rPr>
              <w:t>亿元</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0C58DDB">
            <w:pPr>
              <w:spacing w:before="0" w:after="0" w:line="320" w:lineRule="auto"/>
              <w:jc w:val="center"/>
              <w:rPr>
                <w:color w:val="auto"/>
              </w:rPr>
            </w:pPr>
            <w:r>
              <w:rPr>
                <w:rFonts w:ascii="宋体" w:hAnsi="宋体" w:eastAsia="宋体" w:cs="宋体"/>
                <w:b w:val="0"/>
                <w:bCs w:val="0"/>
                <w:color w:val="auto"/>
                <w:sz w:val="21"/>
                <w:szCs w:val="21"/>
              </w:rPr>
              <w:t>筹资活动产生的现金流量净额</w:t>
            </w:r>
          </w:p>
        </w:tc>
      </w:tr>
      <w:tr w14:paraId="6D36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D32D39D">
            <w:pPr>
              <w:spacing w:before="0" w:after="0" w:line="320" w:lineRule="auto"/>
              <w:jc w:val="center"/>
              <w:rPr>
                <w:color w:val="auto"/>
              </w:rPr>
            </w:pPr>
            <w:r>
              <w:rPr>
                <w:rFonts w:ascii="宋体" w:hAnsi="宋体" w:eastAsia="宋体" w:cs="宋体"/>
                <w:b w:val="0"/>
                <w:bCs w:val="0"/>
                <w:color w:val="auto"/>
                <w:sz w:val="21"/>
                <w:szCs w:val="21"/>
              </w:rPr>
              <w:t>自由现金流</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8D6674F">
            <w:pPr>
              <w:spacing w:before="0" w:after="0" w:line="320" w:lineRule="auto"/>
              <w:jc w:val="center"/>
              <w:rPr>
                <w:color w:val="auto"/>
              </w:rPr>
            </w:pPr>
            <w:r>
              <w:rPr>
                <w:rFonts w:ascii="宋体" w:hAnsi="宋体" w:eastAsia="宋体" w:cs="宋体"/>
                <w:b w:val="0"/>
                <w:bCs w:val="0"/>
                <w:color w:val="auto"/>
                <w:sz w:val="21"/>
                <w:szCs w:val="21"/>
              </w:rPr>
              <w:t>现金流核心数据表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48A0D70">
            <w:pPr>
              <w:spacing w:before="0" w:after="0" w:line="320" w:lineRule="auto"/>
              <w:jc w:val="center"/>
              <w:rPr>
                <w:color w:val="auto"/>
              </w:rPr>
            </w:pPr>
            <w:r>
              <w:rPr>
                <w:rFonts w:ascii="宋体" w:hAnsi="宋体" w:eastAsia="宋体" w:cs="宋体"/>
                <w:b w:val="0"/>
                <w:bCs w:val="0"/>
                <w:color w:val="auto"/>
                <w:sz w:val="21"/>
                <w:szCs w:val="21"/>
              </w:rPr>
              <w:t>亿元</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F3D0AB0">
            <w:pPr>
              <w:spacing w:before="0" w:after="0" w:line="320" w:lineRule="auto"/>
              <w:jc w:val="center"/>
              <w:rPr>
                <w:color w:val="auto"/>
              </w:rPr>
            </w:pPr>
            <w:r>
              <w:rPr>
                <w:rFonts w:ascii="宋体" w:hAnsi="宋体" w:eastAsia="宋体" w:cs="宋体"/>
                <w:b w:val="0"/>
                <w:bCs w:val="0"/>
                <w:color w:val="auto"/>
                <w:sz w:val="21"/>
                <w:szCs w:val="21"/>
              </w:rPr>
              <w:t>经营活动现金流净额 − 资本性支出，Tushare 字段 free_cashflow</w:t>
            </w:r>
          </w:p>
        </w:tc>
      </w:tr>
      <w:tr w14:paraId="721A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9654742">
            <w:pPr>
              <w:spacing w:before="0" w:after="0" w:line="320" w:lineRule="auto"/>
              <w:jc w:val="center"/>
              <w:rPr>
                <w:color w:val="auto"/>
              </w:rPr>
            </w:pPr>
            <w:r>
              <w:rPr>
                <w:rFonts w:ascii="宋体" w:hAnsi="宋体" w:eastAsia="宋体" w:cs="宋体"/>
                <w:b w:val="0"/>
                <w:bCs w:val="0"/>
                <w:color w:val="auto"/>
                <w:sz w:val="21"/>
                <w:szCs w:val="21"/>
              </w:rPr>
              <w:t>期末现金及现金等价物</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876D77A">
            <w:pPr>
              <w:spacing w:before="0" w:after="0" w:line="320" w:lineRule="auto"/>
              <w:jc w:val="center"/>
              <w:rPr>
                <w:color w:val="auto"/>
              </w:rPr>
            </w:pPr>
            <w:r>
              <w:rPr>
                <w:rFonts w:ascii="宋体" w:hAnsi="宋体" w:eastAsia="宋体" w:cs="宋体"/>
                <w:b w:val="0"/>
                <w:bCs w:val="0"/>
                <w:color w:val="auto"/>
                <w:sz w:val="21"/>
                <w:szCs w:val="21"/>
              </w:rPr>
              <w:t>现金流核心数据表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AB5A5CD">
            <w:pPr>
              <w:spacing w:before="0" w:after="0" w:line="320" w:lineRule="auto"/>
              <w:jc w:val="center"/>
              <w:rPr>
                <w:color w:val="auto"/>
              </w:rPr>
            </w:pPr>
            <w:r>
              <w:rPr>
                <w:rFonts w:ascii="宋体" w:hAnsi="宋体" w:eastAsia="宋体" w:cs="宋体"/>
                <w:b w:val="0"/>
                <w:bCs w:val="0"/>
                <w:color w:val="auto"/>
                <w:sz w:val="21"/>
                <w:szCs w:val="21"/>
              </w:rPr>
              <w:t>亿元</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9608F7F">
            <w:pPr>
              <w:spacing w:before="0" w:after="0" w:line="320" w:lineRule="auto"/>
              <w:jc w:val="center"/>
              <w:rPr>
                <w:color w:val="auto"/>
              </w:rPr>
            </w:pPr>
            <w:r>
              <w:rPr>
                <w:rFonts w:ascii="宋体" w:hAnsi="宋体" w:eastAsia="宋体" w:cs="宋体"/>
                <w:b w:val="0"/>
                <w:bCs w:val="0"/>
                <w:color w:val="auto"/>
                <w:sz w:val="21"/>
                <w:szCs w:val="21"/>
              </w:rPr>
              <w:t>现金流量表附注中"期末现金及现金等价物余额"</w:t>
            </w:r>
          </w:p>
        </w:tc>
      </w:tr>
      <w:tr w14:paraId="226E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BA4AE04">
            <w:pPr>
              <w:spacing w:before="0" w:after="0" w:line="320" w:lineRule="auto"/>
              <w:jc w:val="center"/>
              <w:rPr>
                <w:color w:val="auto"/>
              </w:rPr>
            </w:pPr>
            <w:r>
              <w:rPr>
                <w:rFonts w:ascii="宋体" w:hAnsi="宋体" w:eastAsia="宋体" w:cs="宋体"/>
                <w:b w:val="0"/>
                <w:bCs w:val="0"/>
                <w:color w:val="auto"/>
                <w:sz w:val="21"/>
                <w:szCs w:val="21"/>
              </w:rPr>
              <w:t>EBITDA</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70A4542">
            <w:pPr>
              <w:spacing w:before="0" w:after="0" w:line="320" w:lineRule="auto"/>
              <w:jc w:val="center"/>
              <w:rPr>
                <w:color w:val="auto"/>
              </w:rPr>
            </w:pPr>
            <w:r>
              <w:rPr>
                <w:rFonts w:ascii="宋体" w:hAnsi="宋体" w:eastAsia="宋体" w:cs="宋体"/>
                <w:b w:val="0"/>
                <w:bCs w:val="0"/>
                <w:color w:val="auto"/>
                <w:sz w:val="21"/>
                <w:szCs w:val="21"/>
              </w:rPr>
              <w:t>现金流核心数据表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1B87F54">
            <w:pPr>
              <w:spacing w:before="0" w:after="0" w:line="320" w:lineRule="auto"/>
              <w:jc w:val="center"/>
              <w:rPr>
                <w:color w:val="auto"/>
              </w:rPr>
            </w:pPr>
            <w:r>
              <w:rPr>
                <w:rFonts w:ascii="宋体" w:hAnsi="宋体" w:eastAsia="宋体" w:cs="宋体"/>
                <w:b w:val="0"/>
                <w:bCs w:val="0"/>
                <w:color w:val="auto"/>
                <w:sz w:val="21"/>
                <w:szCs w:val="21"/>
              </w:rPr>
              <w:t>亿元</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4D74B4C">
            <w:pPr>
              <w:spacing w:before="0" w:after="0" w:line="320" w:lineRule="auto"/>
              <w:jc w:val="center"/>
              <w:rPr>
                <w:color w:val="auto"/>
              </w:rPr>
            </w:pPr>
            <w:r>
              <w:rPr>
                <w:rFonts w:ascii="宋体" w:hAnsi="宋体" w:eastAsia="宋体" w:cs="宋体"/>
                <w:b w:val="0"/>
                <w:bCs w:val="0"/>
                <w:color w:val="auto"/>
                <w:sz w:val="21"/>
                <w:szCs w:val="21"/>
              </w:rPr>
              <w:t>息税折旧摊销前利润，Tushare 字段 ebitda</w:t>
            </w:r>
          </w:p>
        </w:tc>
      </w:tr>
      <w:tr w14:paraId="376A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314A516">
            <w:pPr>
              <w:spacing w:before="0" w:after="0" w:line="320" w:lineRule="auto"/>
              <w:jc w:val="center"/>
              <w:rPr>
                <w:color w:val="auto"/>
              </w:rPr>
            </w:pPr>
            <w:r>
              <w:rPr>
                <w:rFonts w:ascii="宋体" w:hAnsi="宋体" w:eastAsia="宋体" w:cs="宋体"/>
                <w:b w:val="0"/>
                <w:bCs w:val="0"/>
                <w:color w:val="auto"/>
                <w:sz w:val="21"/>
                <w:szCs w:val="21"/>
              </w:rPr>
              <w:t>流动比率</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DAFFFED">
            <w:pPr>
              <w:spacing w:before="0" w:after="0" w:line="320" w:lineRule="auto"/>
              <w:jc w:val="center"/>
              <w:rPr>
                <w:color w:val="auto"/>
              </w:rPr>
            </w:pPr>
            <w:r>
              <w:rPr>
                <w:rFonts w:ascii="宋体" w:hAnsi="宋体" w:eastAsia="宋体" w:cs="宋体"/>
                <w:b w:val="0"/>
                <w:bCs w:val="0"/>
                <w:color w:val="auto"/>
                <w:sz w:val="21"/>
                <w:szCs w:val="21"/>
              </w:rPr>
              <w:t>偿债能力指标表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FD69239">
            <w:pPr>
              <w:spacing w:before="0" w:after="0" w:line="320" w:lineRule="auto"/>
              <w:jc w:val="center"/>
              <w:rPr>
                <w:color w:val="auto"/>
              </w:rPr>
            </w:pPr>
            <w:r>
              <w:rPr>
                <w:rFonts w:ascii="宋体" w:hAnsi="宋体" w:eastAsia="宋体" w:cs="宋体"/>
                <w:b w:val="0"/>
                <w:bCs w:val="0"/>
                <w:color w:val="auto"/>
                <w:sz w:val="21"/>
                <w:szCs w:val="21"/>
              </w:rPr>
              <w:t>—</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3150231">
            <w:pPr>
              <w:spacing w:before="0" w:after="0" w:line="320" w:lineRule="auto"/>
              <w:jc w:val="center"/>
              <w:rPr>
                <w:color w:val="auto"/>
              </w:rPr>
            </w:pPr>
            <w:r>
              <w:rPr>
                <w:rFonts w:ascii="宋体" w:hAnsi="宋体" w:eastAsia="宋体" w:cs="宋体"/>
                <w:b w:val="0"/>
                <w:bCs w:val="0"/>
                <w:color w:val="auto"/>
                <w:sz w:val="21"/>
                <w:szCs w:val="21"/>
              </w:rPr>
              <w:t>流动资产 ÷ 流动负债</w:t>
            </w:r>
          </w:p>
        </w:tc>
      </w:tr>
      <w:tr w14:paraId="7499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6F0F1EF">
            <w:pPr>
              <w:spacing w:before="0" w:after="0" w:line="320" w:lineRule="auto"/>
              <w:jc w:val="center"/>
              <w:rPr>
                <w:color w:val="auto"/>
              </w:rPr>
            </w:pPr>
            <w:r>
              <w:rPr>
                <w:rFonts w:ascii="宋体" w:hAnsi="宋体" w:eastAsia="宋体" w:cs="宋体"/>
                <w:b w:val="0"/>
                <w:bCs w:val="0"/>
                <w:color w:val="auto"/>
                <w:sz w:val="21"/>
                <w:szCs w:val="21"/>
              </w:rPr>
              <w:t>速动比率</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50B3C96">
            <w:pPr>
              <w:spacing w:before="0" w:after="0" w:line="320" w:lineRule="auto"/>
              <w:jc w:val="center"/>
              <w:rPr>
                <w:color w:val="auto"/>
              </w:rPr>
            </w:pPr>
            <w:r>
              <w:rPr>
                <w:rFonts w:ascii="宋体" w:hAnsi="宋体" w:eastAsia="宋体" w:cs="宋体"/>
                <w:b w:val="0"/>
                <w:bCs w:val="0"/>
                <w:color w:val="auto"/>
                <w:sz w:val="21"/>
                <w:szCs w:val="21"/>
              </w:rPr>
              <w:t>偿债能力指标表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50021FC">
            <w:pPr>
              <w:spacing w:before="0" w:after="0" w:line="320" w:lineRule="auto"/>
              <w:jc w:val="center"/>
              <w:rPr>
                <w:color w:val="auto"/>
              </w:rPr>
            </w:pPr>
            <w:r>
              <w:rPr>
                <w:rFonts w:ascii="宋体" w:hAnsi="宋体" w:eastAsia="宋体" w:cs="宋体"/>
                <w:b w:val="0"/>
                <w:bCs w:val="0"/>
                <w:color w:val="auto"/>
                <w:sz w:val="21"/>
                <w:szCs w:val="21"/>
              </w:rPr>
              <w:t>—</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84BD473">
            <w:pPr>
              <w:spacing w:before="0" w:after="0" w:line="320" w:lineRule="auto"/>
              <w:jc w:val="center"/>
              <w:rPr>
                <w:color w:val="auto"/>
              </w:rPr>
            </w:pPr>
            <w:r>
              <w:rPr>
                <w:rFonts w:ascii="宋体" w:hAnsi="宋体" w:eastAsia="宋体" w:cs="宋体"/>
                <w:b w:val="0"/>
                <w:bCs w:val="0"/>
                <w:color w:val="auto"/>
                <w:sz w:val="21"/>
                <w:szCs w:val="21"/>
              </w:rPr>
              <w:t>（流动资产 − 存货）÷ 流动负债</w:t>
            </w:r>
          </w:p>
        </w:tc>
      </w:tr>
      <w:tr w14:paraId="068D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590FDC5">
            <w:pPr>
              <w:spacing w:before="0" w:after="0" w:line="320" w:lineRule="auto"/>
              <w:jc w:val="center"/>
              <w:rPr>
                <w:color w:val="auto"/>
              </w:rPr>
            </w:pPr>
            <w:r>
              <w:rPr>
                <w:rFonts w:ascii="宋体" w:hAnsi="宋体" w:eastAsia="宋体" w:cs="宋体"/>
                <w:b w:val="0"/>
                <w:bCs w:val="0"/>
                <w:color w:val="auto"/>
                <w:sz w:val="21"/>
                <w:szCs w:val="21"/>
              </w:rPr>
              <w:t>现金比率</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5F06DC5">
            <w:pPr>
              <w:spacing w:before="0" w:after="0" w:line="320" w:lineRule="auto"/>
              <w:jc w:val="center"/>
              <w:rPr>
                <w:color w:val="auto"/>
              </w:rPr>
            </w:pPr>
            <w:r>
              <w:rPr>
                <w:rFonts w:ascii="宋体" w:hAnsi="宋体" w:eastAsia="宋体" w:cs="宋体"/>
                <w:b w:val="0"/>
                <w:bCs w:val="0"/>
                <w:color w:val="auto"/>
                <w:sz w:val="21"/>
                <w:szCs w:val="21"/>
              </w:rPr>
              <w:t>偿债能力指标表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75F0DDB">
            <w:pPr>
              <w:spacing w:before="0" w:after="0" w:line="320" w:lineRule="auto"/>
              <w:jc w:val="center"/>
              <w:rPr>
                <w:color w:val="auto"/>
              </w:rPr>
            </w:pPr>
            <w:r>
              <w:rPr>
                <w:rFonts w:ascii="宋体" w:hAnsi="宋体" w:eastAsia="宋体" w:cs="宋体"/>
                <w:b w:val="0"/>
                <w:bCs w:val="0"/>
                <w:color w:val="auto"/>
                <w:sz w:val="21"/>
                <w:szCs w:val="21"/>
              </w:rPr>
              <w:t>—</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470E6CE">
            <w:pPr>
              <w:spacing w:before="0" w:after="0" w:line="320" w:lineRule="auto"/>
              <w:jc w:val="center"/>
              <w:rPr>
                <w:color w:val="auto"/>
              </w:rPr>
            </w:pPr>
            <w:r>
              <w:rPr>
                <w:rFonts w:ascii="宋体" w:hAnsi="宋体" w:eastAsia="宋体" w:cs="宋体"/>
                <w:b w:val="0"/>
                <w:bCs w:val="0"/>
                <w:color w:val="auto"/>
                <w:sz w:val="21"/>
                <w:szCs w:val="21"/>
              </w:rPr>
              <w:t>货币资金 ÷ 流动负债</w:t>
            </w:r>
          </w:p>
        </w:tc>
      </w:tr>
      <w:tr w14:paraId="4AFE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ED51E54">
            <w:pPr>
              <w:spacing w:before="0" w:after="0" w:line="320" w:lineRule="auto"/>
              <w:jc w:val="center"/>
              <w:rPr>
                <w:color w:val="auto"/>
              </w:rPr>
            </w:pPr>
            <w:r>
              <w:rPr>
                <w:rFonts w:ascii="宋体" w:hAnsi="宋体" w:eastAsia="宋体" w:cs="宋体"/>
                <w:b w:val="0"/>
                <w:bCs w:val="0"/>
                <w:color w:val="auto"/>
                <w:sz w:val="21"/>
                <w:szCs w:val="21"/>
              </w:rPr>
              <w:t>资产负债率</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A409D9F">
            <w:pPr>
              <w:spacing w:before="0" w:after="0" w:line="320" w:lineRule="auto"/>
              <w:jc w:val="center"/>
              <w:rPr>
                <w:color w:val="auto"/>
              </w:rPr>
            </w:pPr>
            <w:r>
              <w:rPr>
                <w:rFonts w:ascii="宋体" w:hAnsi="宋体" w:eastAsia="宋体" w:cs="宋体"/>
                <w:b w:val="0"/>
                <w:bCs w:val="0"/>
                <w:color w:val="auto"/>
                <w:sz w:val="21"/>
                <w:szCs w:val="21"/>
              </w:rPr>
              <w:t>偿债能力指标表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66D8777">
            <w:pPr>
              <w:spacing w:before="0" w:after="0" w:line="320" w:lineRule="auto"/>
              <w:jc w:val="center"/>
              <w:rPr>
                <w:color w:val="auto"/>
              </w:rPr>
            </w:pPr>
            <w:r>
              <w:rPr>
                <w:rFonts w:ascii="宋体" w:hAnsi="宋体" w:eastAsia="宋体" w:cs="宋体"/>
                <w:b w:val="0"/>
                <w:bCs w:val="0"/>
                <w:color w:val="auto"/>
                <w:sz w:val="21"/>
                <w:szCs w:val="21"/>
              </w:rPr>
              <w:t>%</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5C5C387">
            <w:pPr>
              <w:spacing w:before="0" w:after="0" w:line="320" w:lineRule="auto"/>
              <w:jc w:val="center"/>
              <w:rPr>
                <w:color w:val="auto"/>
              </w:rPr>
            </w:pPr>
            <w:r>
              <w:rPr>
                <w:rFonts w:ascii="宋体" w:hAnsi="宋体" w:eastAsia="宋体" w:cs="宋体"/>
                <w:b w:val="0"/>
                <w:bCs w:val="0"/>
                <w:color w:val="auto"/>
                <w:sz w:val="21"/>
                <w:szCs w:val="21"/>
              </w:rPr>
              <w:t>负债合计 ÷ 资产总计 × 100%</w:t>
            </w:r>
          </w:p>
        </w:tc>
      </w:tr>
      <w:tr w14:paraId="64A1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0EE5635A">
            <w:pPr>
              <w:spacing w:before="0" w:after="0" w:line="320" w:lineRule="auto"/>
              <w:jc w:val="center"/>
              <w:rPr>
                <w:color w:val="auto"/>
              </w:rPr>
            </w:pPr>
            <w:r>
              <w:rPr>
                <w:rFonts w:ascii="宋体" w:hAnsi="宋体" w:eastAsia="宋体" w:cs="宋体"/>
                <w:b w:val="0"/>
                <w:bCs w:val="0"/>
                <w:color w:val="auto"/>
                <w:sz w:val="21"/>
                <w:szCs w:val="21"/>
              </w:rPr>
              <w:t>经营现金流量比率</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310224A">
            <w:pPr>
              <w:spacing w:before="0" w:after="0" w:line="320" w:lineRule="auto"/>
              <w:jc w:val="center"/>
              <w:rPr>
                <w:color w:val="auto"/>
              </w:rPr>
            </w:pPr>
            <w:r>
              <w:rPr>
                <w:rFonts w:ascii="宋体" w:hAnsi="宋体" w:eastAsia="宋体" w:cs="宋体"/>
                <w:b w:val="0"/>
                <w:bCs w:val="0"/>
                <w:color w:val="auto"/>
                <w:sz w:val="21"/>
                <w:szCs w:val="21"/>
              </w:rPr>
              <w:t>偿债能力指标表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3213DD8">
            <w:pPr>
              <w:spacing w:before="0" w:after="0" w:line="320" w:lineRule="auto"/>
              <w:jc w:val="center"/>
              <w:rPr>
                <w:color w:val="auto"/>
              </w:rPr>
            </w:pPr>
            <w:r>
              <w:rPr>
                <w:rFonts w:ascii="宋体" w:hAnsi="宋体" w:eastAsia="宋体" w:cs="宋体"/>
                <w:b w:val="0"/>
                <w:bCs w:val="0"/>
                <w:color w:val="auto"/>
                <w:sz w:val="21"/>
                <w:szCs w:val="21"/>
              </w:rPr>
              <w:t>—</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5FACEA7">
            <w:pPr>
              <w:spacing w:before="0" w:after="0" w:line="320" w:lineRule="auto"/>
              <w:jc w:val="center"/>
              <w:rPr>
                <w:color w:val="auto"/>
              </w:rPr>
            </w:pPr>
            <w:r>
              <w:rPr>
                <w:rFonts w:ascii="宋体" w:hAnsi="宋体" w:eastAsia="宋体" w:cs="宋体"/>
                <w:b w:val="0"/>
                <w:bCs w:val="0"/>
                <w:color w:val="auto"/>
                <w:sz w:val="21"/>
                <w:szCs w:val="21"/>
              </w:rPr>
              <w:t>经营活动现金流净额 ÷ 流动负债</w:t>
            </w:r>
          </w:p>
        </w:tc>
      </w:tr>
      <w:tr w14:paraId="1016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724804C">
            <w:pPr>
              <w:spacing w:before="0" w:after="0" w:line="320" w:lineRule="auto"/>
              <w:jc w:val="center"/>
              <w:rPr>
                <w:color w:val="auto"/>
              </w:rPr>
            </w:pPr>
            <w:r>
              <w:rPr>
                <w:rFonts w:ascii="宋体" w:hAnsi="宋体" w:eastAsia="宋体" w:cs="宋体"/>
                <w:b w:val="0"/>
                <w:bCs w:val="0"/>
                <w:color w:val="auto"/>
                <w:sz w:val="21"/>
                <w:szCs w:val="21"/>
              </w:rPr>
              <w:t>净资产收益率</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79FD551">
            <w:pPr>
              <w:spacing w:before="0" w:after="0" w:line="320" w:lineRule="auto"/>
              <w:jc w:val="center"/>
              <w:rPr>
                <w:color w:val="auto"/>
              </w:rPr>
            </w:pPr>
            <w:r>
              <w:rPr>
                <w:rFonts w:ascii="宋体" w:hAnsi="宋体" w:eastAsia="宋体" w:cs="宋体"/>
                <w:b w:val="0"/>
                <w:bCs w:val="0"/>
                <w:color w:val="auto"/>
                <w:sz w:val="21"/>
                <w:szCs w:val="21"/>
              </w:rPr>
              <w:t>盈利能力指标表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4BE40797">
            <w:pPr>
              <w:spacing w:before="0" w:after="0" w:line="320" w:lineRule="auto"/>
              <w:jc w:val="center"/>
              <w:rPr>
                <w:color w:val="auto"/>
              </w:rPr>
            </w:pPr>
            <w:r>
              <w:rPr>
                <w:rFonts w:ascii="宋体" w:hAnsi="宋体" w:eastAsia="宋体" w:cs="宋体"/>
                <w:b w:val="0"/>
                <w:bCs w:val="0"/>
                <w:color w:val="auto"/>
                <w:sz w:val="21"/>
                <w:szCs w:val="21"/>
              </w:rPr>
              <w:t>%</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6C08B5C">
            <w:pPr>
              <w:spacing w:before="0" w:after="0" w:line="320" w:lineRule="auto"/>
              <w:jc w:val="center"/>
              <w:rPr>
                <w:color w:val="auto"/>
              </w:rPr>
            </w:pPr>
            <w:r>
              <w:rPr>
                <w:rFonts w:ascii="宋体" w:hAnsi="宋体" w:eastAsia="宋体" w:cs="宋体"/>
                <w:b w:val="0"/>
                <w:bCs w:val="0"/>
                <w:color w:val="auto"/>
                <w:sz w:val="21"/>
                <w:szCs w:val="21"/>
              </w:rPr>
              <w:t>ROE，归母净利润 ÷ 平均净资产 × 100%</w:t>
            </w:r>
          </w:p>
        </w:tc>
      </w:tr>
      <w:tr w14:paraId="0281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F19F0FE">
            <w:pPr>
              <w:spacing w:before="0" w:after="0" w:line="320" w:lineRule="auto"/>
              <w:jc w:val="center"/>
              <w:rPr>
                <w:color w:val="auto"/>
              </w:rPr>
            </w:pPr>
            <w:r>
              <w:rPr>
                <w:rFonts w:ascii="宋体" w:hAnsi="宋体" w:eastAsia="宋体" w:cs="宋体"/>
                <w:b w:val="0"/>
                <w:bCs w:val="0"/>
                <w:color w:val="auto"/>
                <w:sz w:val="21"/>
                <w:szCs w:val="21"/>
              </w:rPr>
              <w:t>总资产净利率</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0461CF7">
            <w:pPr>
              <w:spacing w:before="0" w:after="0" w:line="320" w:lineRule="auto"/>
              <w:jc w:val="center"/>
              <w:rPr>
                <w:color w:val="auto"/>
              </w:rPr>
            </w:pPr>
            <w:r>
              <w:rPr>
                <w:rFonts w:ascii="宋体" w:hAnsi="宋体" w:eastAsia="宋体" w:cs="宋体"/>
                <w:b w:val="0"/>
                <w:bCs w:val="0"/>
                <w:color w:val="auto"/>
                <w:sz w:val="21"/>
                <w:szCs w:val="21"/>
              </w:rPr>
              <w:t>盈利能力指标表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8EC91FC">
            <w:pPr>
              <w:spacing w:before="0" w:after="0" w:line="320" w:lineRule="auto"/>
              <w:jc w:val="center"/>
              <w:rPr>
                <w:color w:val="auto"/>
              </w:rPr>
            </w:pPr>
            <w:r>
              <w:rPr>
                <w:rFonts w:ascii="宋体" w:hAnsi="宋体" w:eastAsia="宋体" w:cs="宋体"/>
                <w:b w:val="0"/>
                <w:bCs w:val="0"/>
                <w:color w:val="auto"/>
                <w:sz w:val="21"/>
                <w:szCs w:val="21"/>
              </w:rPr>
              <w:t>%</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381B265">
            <w:pPr>
              <w:spacing w:before="0" w:after="0" w:line="320" w:lineRule="auto"/>
              <w:jc w:val="center"/>
              <w:rPr>
                <w:color w:val="auto"/>
              </w:rPr>
            </w:pPr>
            <w:r>
              <w:rPr>
                <w:rFonts w:ascii="宋体" w:hAnsi="宋体" w:eastAsia="宋体" w:cs="宋体"/>
                <w:b w:val="0"/>
                <w:bCs w:val="0"/>
                <w:color w:val="auto"/>
                <w:sz w:val="21"/>
                <w:szCs w:val="21"/>
              </w:rPr>
              <w:t>ROA，净利润 ÷ 平均总资产 × 100%</w:t>
            </w:r>
          </w:p>
        </w:tc>
      </w:tr>
      <w:tr w14:paraId="46C3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134EF613">
            <w:pPr>
              <w:spacing w:before="0" w:after="0" w:line="320" w:lineRule="auto"/>
              <w:jc w:val="center"/>
              <w:rPr>
                <w:color w:val="auto"/>
              </w:rPr>
            </w:pPr>
            <w:r>
              <w:rPr>
                <w:rFonts w:ascii="宋体" w:hAnsi="宋体" w:eastAsia="宋体" w:cs="宋体"/>
                <w:b w:val="0"/>
                <w:bCs w:val="0"/>
                <w:color w:val="auto"/>
                <w:sz w:val="21"/>
                <w:szCs w:val="21"/>
              </w:rPr>
              <w:t>销售净利率</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369C18A7">
            <w:pPr>
              <w:spacing w:before="0" w:after="0" w:line="320" w:lineRule="auto"/>
              <w:jc w:val="center"/>
              <w:rPr>
                <w:color w:val="auto"/>
              </w:rPr>
            </w:pPr>
            <w:r>
              <w:rPr>
                <w:rFonts w:ascii="宋体" w:hAnsi="宋体" w:eastAsia="宋体" w:cs="宋体"/>
                <w:b w:val="0"/>
                <w:bCs w:val="0"/>
                <w:color w:val="auto"/>
                <w:sz w:val="21"/>
                <w:szCs w:val="21"/>
              </w:rPr>
              <w:t>盈利能力指标表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F755ECC">
            <w:pPr>
              <w:spacing w:before="0" w:after="0" w:line="320" w:lineRule="auto"/>
              <w:jc w:val="center"/>
              <w:rPr>
                <w:color w:val="auto"/>
              </w:rPr>
            </w:pPr>
            <w:r>
              <w:rPr>
                <w:rFonts w:ascii="宋体" w:hAnsi="宋体" w:eastAsia="宋体" w:cs="宋体"/>
                <w:b w:val="0"/>
                <w:bCs w:val="0"/>
                <w:color w:val="auto"/>
                <w:sz w:val="21"/>
                <w:szCs w:val="21"/>
              </w:rPr>
              <w:t>%</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60215686">
            <w:pPr>
              <w:spacing w:before="0" w:after="0" w:line="320" w:lineRule="auto"/>
              <w:jc w:val="center"/>
              <w:rPr>
                <w:color w:val="auto"/>
              </w:rPr>
            </w:pPr>
            <w:r>
              <w:rPr>
                <w:rFonts w:ascii="宋体" w:hAnsi="宋体" w:eastAsia="宋体" w:cs="宋体"/>
                <w:b w:val="0"/>
                <w:bCs w:val="0"/>
                <w:color w:val="auto"/>
                <w:sz w:val="21"/>
                <w:szCs w:val="21"/>
              </w:rPr>
              <w:t>净利润 ÷ 营业收入 × 100%</w:t>
            </w:r>
          </w:p>
        </w:tc>
      </w:tr>
      <w:tr w14:paraId="6CFA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951AF8E">
            <w:pPr>
              <w:spacing w:before="0" w:after="0" w:line="320" w:lineRule="auto"/>
              <w:jc w:val="center"/>
              <w:rPr>
                <w:color w:val="auto"/>
              </w:rPr>
            </w:pPr>
            <w:r>
              <w:rPr>
                <w:rFonts w:ascii="宋体" w:hAnsi="宋体" w:eastAsia="宋体" w:cs="宋体"/>
                <w:b w:val="0"/>
                <w:bCs w:val="0"/>
                <w:color w:val="auto"/>
                <w:sz w:val="21"/>
                <w:szCs w:val="21"/>
              </w:rPr>
              <w:t>总资产周转率</w:t>
            </w:r>
          </w:p>
        </w:tc>
        <w:tc>
          <w:tcPr>
            <w:tcW w:w="16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2D50E6F2">
            <w:pPr>
              <w:spacing w:before="0" w:after="0" w:line="320" w:lineRule="auto"/>
              <w:jc w:val="center"/>
              <w:rPr>
                <w:color w:val="auto"/>
              </w:rPr>
            </w:pPr>
            <w:r>
              <w:rPr>
                <w:rFonts w:ascii="宋体" w:hAnsi="宋体" w:eastAsia="宋体" w:cs="宋体"/>
                <w:b w:val="0"/>
                <w:bCs w:val="0"/>
                <w:color w:val="auto"/>
                <w:sz w:val="21"/>
                <w:szCs w:val="21"/>
              </w:rPr>
              <w:t>盈利能力指标表</w:t>
            </w:r>
          </w:p>
        </w:tc>
        <w:tc>
          <w:tcPr>
            <w:tcW w:w="1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751A3057">
            <w:pPr>
              <w:spacing w:before="0" w:after="0" w:line="320" w:lineRule="auto"/>
              <w:jc w:val="center"/>
              <w:rPr>
                <w:color w:val="auto"/>
              </w:rPr>
            </w:pPr>
            <w:r>
              <w:rPr>
                <w:rFonts w:ascii="宋体" w:hAnsi="宋体" w:eastAsia="宋体" w:cs="宋体"/>
                <w:b w:val="0"/>
                <w:bCs w:val="0"/>
                <w:color w:val="auto"/>
                <w:sz w:val="21"/>
                <w:szCs w:val="21"/>
              </w:rPr>
              <w:t>次</w:t>
            </w:r>
          </w:p>
        </w:tc>
        <w:tc>
          <w:tcPr>
            <w:tcW w:w="3200" w:type="dxa"/>
            <w:tcBorders>
              <w:top w:val="single" w:color="000000" w:sz="4" w:space="0"/>
              <w:left w:val="single" w:color="000000" w:sz="4" w:space="0"/>
              <w:bottom w:val="single" w:color="000000" w:sz="4" w:space="0"/>
              <w:right w:val="single" w:color="000000" w:sz="4" w:space="0"/>
            </w:tcBorders>
            <w:tcMar>
              <w:top w:w="80" w:type="dxa"/>
              <w:left w:w="100" w:type="dxa"/>
              <w:bottom w:w="80" w:type="dxa"/>
              <w:right w:w="100" w:type="dxa"/>
            </w:tcMar>
          </w:tcPr>
          <w:p w14:paraId="5B39E09D">
            <w:pPr>
              <w:spacing w:before="0" w:after="0" w:line="320" w:lineRule="auto"/>
              <w:jc w:val="center"/>
              <w:rPr>
                <w:color w:val="auto"/>
              </w:rPr>
            </w:pPr>
            <w:r>
              <w:rPr>
                <w:rFonts w:ascii="宋体" w:hAnsi="宋体" w:eastAsia="宋体" w:cs="宋体"/>
                <w:b w:val="0"/>
                <w:bCs w:val="0"/>
                <w:color w:val="auto"/>
                <w:sz w:val="21"/>
                <w:szCs w:val="21"/>
              </w:rPr>
              <w:t>营业收入 ÷ 平均总资产</w:t>
            </w:r>
          </w:p>
        </w:tc>
      </w:tr>
    </w:tbl>
    <w:p w14:paraId="47FC84B6">
      <w:pPr>
        <w:pStyle w:val="2"/>
        <w:pageBreakBefore/>
        <w:spacing w:before="480" w:after="360"/>
        <w:jc w:val="center"/>
        <w:rPr>
          <w:color w:val="auto"/>
        </w:rPr>
      </w:pPr>
      <w:bookmarkStart w:id="36" w:name="_Toc3889"/>
      <w:r>
        <w:rPr>
          <w:rFonts w:ascii="黑体" w:hAnsi="黑体" w:eastAsia="黑体" w:cs="黑体"/>
          <w:b/>
          <w:bCs/>
          <w:color w:val="auto"/>
          <w:sz w:val="36"/>
          <w:szCs w:val="36"/>
        </w:rPr>
        <w:t>附录3  数据挖掘与分析规则集</w:t>
      </w:r>
      <w:bookmarkEnd w:id="36"/>
    </w:p>
    <w:p w14:paraId="3F496CBF">
      <w:pPr>
        <w:spacing w:before="0" w:after="0" w:line="360" w:lineRule="auto"/>
        <w:ind w:firstLine="480"/>
        <w:jc w:val="both"/>
        <w:rPr>
          <w:color w:val="auto"/>
        </w:rPr>
      </w:pPr>
      <w:r>
        <w:rPr>
          <w:rFonts w:ascii="宋体" w:hAnsi="宋体" w:eastAsia="宋体" w:cs="宋体"/>
          <w:color w:val="auto"/>
          <w:sz w:val="24"/>
          <w:szCs w:val="24"/>
        </w:rPr>
        <w:t>本研究在数据预处理与可视化分析过程中使用的判别与分级规则统一整理如下。所有规则与正文（第 2、4、5、6 章）使用的口径完全一致，仅为便于复现而集中列出。</w:t>
      </w:r>
    </w:p>
    <w:p w14:paraId="6096FEC9">
      <w:pPr>
        <w:pStyle w:val="3"/>
        <w:spacing w:before="320" w:after="200"/>
        <w:jc w:val="left"/>
        <w:rPr>
          <w:color w:val="auto"/>
        </w:rPr>
      </w:pPr>
      <w:bookmarkStart w:id="37" w:name="_Toc21859"/>
      <w:r>
        <w:rPr>
          <w:rFonts w:ascii="黑体" w:hAnsi="黑体" w:eastAsia="黑体" w:cs="黑体"/>
          <w:b/>
          <w:bCs/>
          <w:color w:val="auto"/>
          <w:sz w:val="28"/>
          <w:szCs w:val="28"/>
        </w:rPr>
        <w:t>附3.1  数据预处理规则</w:t>
      </w:r>
      <w:bookmarkEnd w:id="37"/>
    </w:p>
    <w:p w14:paraId="42671876">
      <w:pPr>
        <w:spacing w:before="0" w:after="0" w:line="360" w:lineRule="auto"/>
        <w:ind w:firstLine="480"/>
        <w:jc w:val="both"/>
        <w:rPr>
          <w:color w:val="auto"/>
        </w:rPr>
      </w:pPr>
      <w:r>
        <w:rPr>
          <w:rFonts w:ascii="宋体" w:hAnsi="宋体" w:eastAsia="宋体" w:cs="宋体"/>
          <w:color w:val="auto"/>
          <w:sz w:val="24"/>
          <w:szCs w:val="24"/>
        </w:rPr>
        <w:t>（1）联合主键去重：以"股票代码 + 报告年度"作为联合主键，同一公司同一年仅保留一条记录。</w:t>
      </w:r>
    </w:p>
    <w:p w14:paraId="3B928169">
      <w:pPr>
        <w:spacing w:before="0" w:after="0" w:line="360" w:lineRule="auto"/>
        <w:ind w:firstLine="480"/>
        <w:jc w:val="both"/>
        <w:rPr>
          <w:color w:val="auto"/>
        </w:rPr>
      </w:pPr>
      <w:r>
        <w:rPr>
          <w:rFonts w:ascii="宋体" w:hAnsi="宋体" w:eastAsia="宋体" w:cs="宋体"/>
          <w:color w:val="auto"/>
          <w:sz w:val="24"/>
          <w:szCs w:val="24"/>
        </w:rPr>
        <w:t>（2）关键字段强制非空：经营活动现金流净额、流动比率、资产负债率、净资产收益率 4 个字段任一缺失即整行删除；其余数值型字段允许少量缺失，以该字段全样本中位数填补。</w:t>
      </w:r>
    </w:p>
    <w:p w14:paraId="46F845E9">
      <w:pPr>
        <w:spacing w:before="0" w:after="0" w:line="360" w:lineRule="auto"/>
        <w:ind w:firstLine="480"/>
        <w:jc w:val="both"/>
        <w:rPr>
          <w:color w:val="auto"/>
        </w:rPr>
      </w:pPr>
      <w:r>
        <w:rPr>
          <w:rFonts w:ascii="宋体" w:hAnsi="宋体" w:eastAsia="宋体" w:cs="宋体"/>
          <w:color w:val="auto"/>
          <w:sz w:val="24"/>
          <w:szCs w:val="24"/>
        </w:rPr>
        <w:t>（3）类型规整：所有数值字段统一为 float64；报告年度与公告日期统一为 datetime64，日期格式为 YYYY-MM-DD。</w:t>
      </w:r>
    </w:p>
    <w:p w14:paraId="6AEA443E">
      <w:pPr>
        <w:spacing w:before="0" w:after="0" w:line="360" w:lineRule="auto"/>
        <w:ind w:firstLine="480"/>
        <w:jc w:val="both"/>
        <w:rPr>
          <w:color w:val="auto"/>
        </w:rPr>
      </w:pPr>
      <w:r>
        <w:rPr>
          <w:rFonts w:ascii="宋体" w:hAnsi="宋体" w:eastAsia="宋体" w:cs="宋体"/>
          <w:color w:val="auto"/>
          <w:sz w:val="24"/>
          <w:szCs w:val="24"/>
        </w:rPr>
        <w:t>（4）3σ 极值剔除：对流动比率、速动比率、资产负债率、净资产收益率、总资产净利率 5 个指标，以"样本均值 ± 3 倍样本标准差"为筛选边界，超出范围的观测整行剔除。</w:t>
      </w:r>
    </w:p>
    <w:p w14:paraId="02FD8B30">
      <w:pPr>
        <w:spacing w:before="0" w:after="0" w:line="360" w:lineRule="auto"/>
        <w:ind w:firstLine="480"/>
        <w:jc w:val="both"/>
        <w:rPr>
          <w:color w:val="auto"/>
        </w:rPr>
      </w:pPr>
      <w:r>
        <w:rPr>
          <w:rFonts w:ascii="宋体" w:hAnsi="宋体" w:eastAsia="宋体" w:cs="宋体"/>
          <w:color w:val="auto"/>
          <w:sz w:val="24"/>
          <w:szCs w:val="24"/>
        </w:rPr>
        <w:t>（5）单位与命名规整：现金流量表相关字段及 EBITDA 由元换算为亿元，保留 4 位小数；所有字段以中文规范名称重命名以便 FineBI 直接拖拽使用。</w:t>
      </w:r>
    </w:p>
    <w:p w14:paraId="697A6ED0">
      <w:pPr>
        <w:spacing w:before="0" w:after="0" w:line="360" w:lineRule="auto"/>
        <w:ind w:firstLine="480"/>
        <w:jc w:val="both"/>
        <w:rPr>
          <w:color w:val="auto"/>
        </w:rPr>
      </w:pPr>
      <w:r>
        <w:rPr>
          <w:rFonts w:ascii="宋体" w:hAnsi="宋体" w:eastAsia="宋体" w:cs="宋体"/>
          <w:color w:val="auto"/>
          <w:sz w:val="24"/>
          <w:szCs w:val="24"/>
        </w:rPr>
        <w:t>（6）行业层面的二次过滤：银行业由于资产负债结构与制造业差异过大，在指标比较时会扭曲整体口径，整体从看板计算中过滤；同时剔除连续 4 年中有 2 个及以上年份关键字段缺失的公司。</w:t>
      </w:r>
    </w:p>
    <w:p w14:paraId="248E6A94">
      <w:pPr>
        <w:pStyle w:val="3"/>
        <w:spacing w:before="320" w:after="200"/>
        <w:jc w:val="left"/>
        <w:rPr>
          <w:color w:val="auto"/>
        </w:rPr>
      </w:pPr>
      <w:bookmarkStart w:id="38" w:name="_Toc28060"/>
      <w:r>
        <w:rPr>
          <w:rFonts w:ascii="黑体" w:hAnsi="黑体" w:eastAsia="黑体" w:cs="黑体"/>
          <w:b/>
          <w:bCs/>
          <w:color w:val="auto"/>
          <w:sz w:val="28"/>
          <w:szCs w:val="28"/>
        </w:rPr>
        <w:t>附3.2  指标分级阈值</w:t>
      </w:r>
      <w:bookmarkEnd w:id="38"/>
    </w:p>
    <w:p w14:paraId="3B85973D">
      <w:pPr>
        <w:spacing w:before="0" w:after="0" w:line="360" w:lineRule="auto"/>
        <w:ind w:firstLine="480"/>
        <w:jc w:val="both"/>
        <w:rPr>
          <w:color w:val="auto"/>
        </w:rPr>
      </w:pPr>
      <w:r>
        <w:rPr>
          <w:rFonts w:ascii="宋体" w:hAnsi="宋体" w:eastAsia="宋体" w:cs="宋体"/>
          <w:color w:val="auto"/>
          <w:sz w:val="24"/>
          <w:szCs w:val="24"/>
        </w:rPr>
        <w:t>为支持分析模块中行业排序与象限分类，对核心财务比率设置如下经验阈值。阈值参考行业惯例与样本分布共同确定，并非绝对标准。</w:t>
      </w:r>
    </w:p>
    <w:p w14:paraId="6F3A3569">
      <w:pPr>
        <w:spacing w:before="0" w:after="0" w:line="360" w:lineRule="auto"/>
        <w:ind w:firstLine="480"/>
        <w:jc w:val="both"/>
        <w:rPr>
          <w:color w:val="auto"/>
        </w:rPr>
      </w:pPr>
      <w:r>
        <w:rPr>
          <w:rFonts w:ascii="宋体" w:hAnsi="宋体" w:eastAsia="宋体" w:cs="宋体"/>
          <w:color w:val="auto"/>
          <w:sz w:val="24"/>
          <w:szCs w:val="24"/>
        </w:rPr>
        <w:t>（1）资产负债率：≥ 50% 高负债；45% — 50% 中高；40% — 45% 中等；&lt; 40% 低负债。</w:t>
      </w:r>
    </w:p>
    <w:p w14:paraId="538E1175">
      <w:pPr>
        <w:spacing w:before="0" w:after="0" w:line="360" w:lineRule="auto"/>
        <w:ind w:firstLine="480"/>
        <w:jc w:val="both"/>
        <w:rPr>
          <w:color w:val="auto"/>
        </w:rPr>
      </w:pPr>
      <w:r>
        <w:rPr>
          <w:rFonts w:ascii="宋体" w:hAnsi="宋体" w:eastAsia="宋体" w:cs="宋体"/>
          <w:color w:val="auto"/>
          <w:sz w:val="24"/>
          <w:szCs w:val="24"/>
        </w:rPr>
        <w:t>（2）净资产收益率（ROE）：≥ 10% 高；5% — 10% 中等；&lt; 5% 偏弱；&lt; 0% 转负。</w:t>
      </w:r>
    </w:p>
    <w:p w14:paraId="110B746D">
      <w:pPr>
        <w:spacing w:before="0" w:after="0" w:line="360" w:lineRule="auto"/>
        <w:ind w:firstLine="480"/>
        <w:jc w:val="both"/>
        <w:rPr>
          <w:color w:val="auto"/>
        </w:rPr>
      </w:pPr>
      <w:r>
        <w:rPr>
          <w:rFonts w:ascii="宋体" w:hAnsi="宋体" w:eastAsia="宋体" w:cs="宋体"/>
          <w:color w:val="auto"/>
          <w:sz w:val="24"/>
          <w:szCs w:val="24"/>
        </w:rPr>
        <w:t>（3）销售净利率：≥ 5% 偏高；0% — 5% 偏弱；&lt; 0% 转负。</w:t>
      </w:r>
    </w:p>
    <w:p w14:paraId="55875AF2">
      <w:pPr>
        <w:spacing w:before="0" w:after="0" w:line="360" w:lineRule="auto"/>
        <w:ind w:firstLine="480"/>
        <w:jc w:val="both"/>
        <w:rPr>
          <w:color w:val="auto"/>
        </w:rPr>
      </w:pPr>
      <w:r>
        <w:rPr>
          <w:rFonts w:ascii="宋体" w:hAnsi="宋体" w:eastAsia="宋体" w:cs="宋体"/>
          <w:color w:val="auto"/>
          <w:sz w:val="24"/>
          <w:szCs w:val="24"/>
        </w:rPr>
        <w:t>（4）流动比率：≥ 2 安全；1 — 2 警戒；&lt; 1 不足。</w:t>
      </w:r>
    </w:p>
    <w:p w14:paraId="6A179F91">
      <w:pPr>
        <w:spacing w:before="0" w:after="0" w:line="360" w:lineRule="auto"/>
        <w:ind w:firstLine="480"/>
        <w:jc w:val="both"/>
        <w:rPr>
          <w:color w:val="auto"/>
        </w:rPr>
      </w:pPr>
      <w:r>
        <w:rPr>
          <w:rFonts w:ascii="宋体" w:hAnsi="宋体" w:eastAsia="宋体" w:cs="宋体"/>
          <w:color w:val="auto"/>
          <w:sz w:val="24"/>
          <w:szCs w:val="24"/>
        </w:rPr>
        <w:t>（5）速动比率：≥ 1 安全；0.7 — 1 警戒；&lt; 0.7 不足。</w:t>
      </w:r>
    </w:p>
    <w:p w14:paraId="534502F7">
      <w:pPr>
        <w:pStyle w:val="3"/>
        <w:spacing w:before="320" w:after="200"/>
        <w:jc w:val="left"/>
        <w:rPr>
          <w:color w:val="auto"/>
        </w:rPr>
      </w:pPr>
      <w:bookmarkStart w:id="39" w:name="_Toc28724"/>
      <w:r>
        <w:rPr>
          <w:rFonts w:ascii="黑体" w:hAnsi="黑体" w:eastAsia="黑体" w:cs="黑体"/>
          <w:b/>
          <w:bCs/>
          <w:color w:val="auto"/>
          <w:sz w:val="28"/>
          <w:szCs w:val="28"/>
        </w:rPr>
        <w:t>附3.3  象限分类规则</w:t>
      </w:r>
      <w:bookmarkEnd w:id="39"/>
    </w:p>
    <w:p w14:paraId="73AFC7DE">
      <w:pPr>
        <w:spacing w:before="0" w:after="0" w:line="360" w:lineRule="auto"/>
        <w:ind w:firstLine="480"/>
        <w:jc w:val="both"/>
        <w:rPr>
          <w:color w:val="auto"/>
        </w:rPr>
      </w:pPr>
      <w:r>
        <w:rPr>
          <w:rFonts w:ascii="宋体" w:hAnsi="宋体" w:eastAsia="宋体" w:cs="宋体"/>
          <w:color w:val="auto"/>
          <w:sz w:val="24"/>
          <w:szCs w:val="24"/>
        </w:rPr>
        <w:t>第 6 章双轴象限以资产负债率 45%、销售净利率 5% 作为分界值，将 9 个行业划分如下：</w:t>
      </w:r>
    </w:p>
    <w:p w14:paraId="47AE1187">
      <w:pPr>
        <w:spacing w:before="0" w:after="0" w:line="360" w:lineRule="auto"/>
        <w:ind w:firstLine="480"/>
        <w:jc w:val="both"/>
        <w:rPr>
          <w:color w:val="auto"/>
        </w:rPr>
      </w:pPr>
      <w:r>
        <w:rPr>
          <w:rFonts w:ascii="宋体" w:hAnsi="宋体" w:eastAsia="宋体" w:cs="宋体"/>
          <w:color w:val="auto"/>
          <w:sz w:val="24"/>
          <w:szCs w:val="24"/>
        </w:rPr>
        <w:t>Ⅰ 象限（低负债 + 高净利率）：资产负债率 &lt; 45% 且销售净利率 ≥ 5%。</w:t>
      </w:r>
    </w:p>
    <w:p w14:paraId="372A1C04">
      <w:pPr>
        <w:spacing w:before="0" w:after="0" w:line="360" w:lineRule="auto"/>
        <w:ind w:firstLine="480"/>
        <w:jc w:val="both"/>
        <w:rPr>
          <w:color w:val="auto"/>
        </w:rPr>
      </w:pPr>
      <w:r>
        <w:rPr>
          <w:rFonts w:ascii="宋体" w:hAnsi="宋体" w:eastAsia="宋体" w:cs="宋体"/>
          <w:color w:val="auto"/>
          <w:sz w:val="24"/>
          <w:szCs w:val="24"/>
        </w:rPr>
        <w:t>Ⅱ 象限（高负债 + 高净利率）：资产</w:t>
      </w:r>
      <w:bookmarkStart w:id="41" w:name="_GoBack"/>
      <w:bookmarkEnd w:id="41"/>
      <w:r>
        <w:rPr>
          <w:rFonts w:ascii="宋体" w:hAnsi="宋体" w:eastAsia="宋体" w:cs="宋体"/>
          <w:color w:val="auto"/>
          <w:sz w:val="24"/>
          <w:szCs w:val="24"/>
        </w:rPr>
        <w:t>负债率 ≥ 45% 且销售净利率 ≥ 5%。</w:t>
      </w:r>
    </w:p>
    <w:p w14:paraId="7F509999">
      <w:pPr>
        <w:spacing w:before="0" w:after="0" w:line="360" w:lineRule="auto"/>
        <w:ind w:firstLine="480"/>
        <w:jc w:val="both"/>
        <w:rPr>
          <w:color w:val="auto"/>
        </w:rPr>
      </w:pPr>
      <w:r>
        <w:rPr>
          <w:rFonts w:ascii="宋体" w:hAnsi="宋体" w:eastAsia="宋体" w:cs="宋体"/>
          <w:color w:val="auto"/>
          <w:sz w:val="24"/>
          <w:szCs w:val="24"/>
        </w:rPr>
        <w:t>Ⅲ 象限（高负债 + 低净利率）：资产负债率 ≥ 45% 且销售净利率 &lt; 5%。</w:t>
      </w:r>
    </w:p>
    <w:p w14:paraId="2872FECE">
      <w:pPr>
        <w:spacing w:before="0" w:after="0" w:line="360" w:lineRule="auto"/>
        <w:ind w:firstLine="480"/>
        <w:jc w:val="both"/>
        <w:rPr>
          <w:color w:val="auto"/>
        </w:rPr>
      </w:pPr>
      <w:r>
        <w:rPr>
          <w:rFonts w:ascii="宋体" w:hAnsi="宋体" w:eastAsia="宋体" w:cs="宋体"/>
          <w:color w:val="auto"/>
          <w:sz w:val="24"/>
          <w:szCs w:val="24"/>
        </w:rPr>
        <w:t>Ⅳ 象限（低负债 + 低净利率）：资产负债率 &lt; 45% 且销售净利率 &lt; 5%。</w:t>
      </w:r>
    </w:p>
    <w:p w14:paraId="3CA060C3">
      <w:pPr>
        <w:pStyle w:val="3"/>
        <w:spacing w:before="320" w:after="200"/>
        <w:jc w:val="left"/>
        <w:rPr>
          <w:color w:val="auto"/>
        </w:rPr>
      </w:pPr>
      <w:bookmarkStart w:id="40" w:name="_Toc9107"/>
      <w:r>
        <w:rPr>
          <w:rFonts w:ascii="黑体" w:hAnsi="黑体" w:eastAsia="黑体" w:cs="黑体"/>
          <w:b/>
          <w:bCs/>
          <w:color w:val="auto"/>
          <w:sz w:val="28"/>
          <w:szCs w:val="28"/>
        </w:rPr>
        <w:t>附3.4  ROE 形态分类规则</w:t>
      </w:r>
      <w:bookmarkEnd w:id="40"/>
    </w:p>
    <w:p w14:paraId="47982FF6">
      <w:pPr>
        <w:spacing w:before="0" w:after="0" w:line="360" w:lineRule="auto"/>
        <w:ind w:firstLine="480"/>
        <w:jc w:val="both"/>
        <w:rPr>
          <w:color w:val="auto"/>
        </w:rPr>
      </w:pPr>
      <w:r>
        <w:rPr>
          <w:rFonts w:ascii="宋体" w:hAnsi="宋体" w:eastAsia="宋体" w:cs="宋体"/>
          <w:color w:val="auto"/>
          <w:sz w:val="24"/>
          <w:szCs w:val="24"/>
        </w:rPr>
        <w:t>第 5 章对 9 个行业的逐年 ROE 形态划分为三类，依据如下定量条件。</w:t>
      </w:r>
    </w:p>
    <w:p w14:paraId="08DA6425">
      <w:pPr>
        <w:spacing w:before="0" w:after="0" w:line="360" w:lineRule="auto"/>
        <w:ind w:firstLine="480"/>
        <w:jc w:val="both"/>
        <w:rPr>
          <w:color w:val="auto"/>
        </w:rPr>
      </w:pPr>
      <w:r>
        <w:rPr>
          <w:rFonts w:ascii="宋体" w:hAnsi="宋体" w:eastAsia="宋体" w:cs="宋体"/>
          <w:color w:val="auto"/>
          <w:sz w:val="24"/>
          <w:szCs w:val="24"/>
        </w:rPr>
        <w:t>（1）稳健型：4 年 ROE 标准差 &lt; 2 个百分点，且 4 年均值 ≥ 5%。</w:t>
      </w:r>
    </w:p>
    <w:p w14:paraId="7E78F423">
      <w:pPr>
        <w:spacing w:before="0" w:after="0" w:line="360" w:lineRule="auto"/>
        <w:ind w:firstLine="480"/>
        <w:jc w:val="both"/>
        <w:rPr>
          <w:color w:val="auto"/>
        </w:rPr>
      </w:pPr>
      <w:r>
        <w:rPr>
          <w:rFonts w:ascii="宋体" w:hAnsi="宋体" w:eastAsia="宋体" w:cs="宋体"/>
          <w:color w:val="auto"/>
          <w:sz w:val="24"/>
          <w:szCs w:val="24"/>
        </w:rPr>
        <w:t>（2）阶段回升型：4 年 ROE 最大值 − 最小值 ≥ 3 个百分点，且 2023 年较 2021 — 2022 期间有明显回升。</w:t>
      </w:r>
    </w:p>
    <w:p w14:paraId="1861C789">
      <w:pPr>
        <w:spacing w:before="0" w:after="0" w:line="360" w:lineRule="auto"/>
        <w:ind w:firstLine="480"/>
        <w:jc w:val="both"/>
        <w:rPr>
          <w:color w:val="auto"/>
        </w:rPr>
      </w:pPr>
      <w:r>
        <w:rPr>
          <w:rFonts w:ascii="宋体" w:hAnsi="宋体" w:eastAsia="宋体" w:cs="宋体"/>
          <w:color w:val="auto"/>
          <w:sz w:val="24"/>
          <w:szCs w:val="24"/>
        </w:rPr>
        <w:t>（3）波动较大或转负型：4 年 ROE 标准差 ≥ 8 个百分点，或 4 年中至少 1 个年度 ROE 为负。</w:t>
      </w:r>
    </w:p>
    <w:sectPr>
      <w:headerReference r:id="rId3" w:type="default"/>
      <w:footerReference r:id="rId4" w:type="default"/>
      <w:pgSz w:w="11906" w:h="16838"/>
      <w:pgMar w:top="1440" w:right="1440" w:bottom="1440" w:left="1440" w:header="720" w:footer="60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CE8A1">
    <w:pPr>
      <w:jc w:val="center"/>
    </w:pPr>
    <w:r>
      <w:rPr>
        <w:rFonts w:ascii="宋体" w:hAnsi="宋体" w:eastAsia="宋体" w:cs="宋体"/>
        <w:color w:val="595959"/>
        <w:sz w:val="20"/>
        <w:szCs w:val="20"/>
      </w:rPr>
      <w:t xml:space="preserve">第 </w:t>
    </w:r>
    <w:r>
      <w:rPr>
        <w:rFonts w:ascii="宋体" w:hAnsi="宋体" w:eastAsia="宋体" w:cs="宋体"/>
        <w:color w:val="595959"/>
        <w:sz w:val="20"/>
        <w:szCs w:val="20"/>
      </w:rPr>
      <w:fldChar w:fldCharType="begin"/>
    </w:r>
    <w:r>
      <w:rPr>
        <w:rFonts w:ascii="宋体" w:hAnsi="宋体" w:eastAsia="宋体" w:cs="宋体"/>
        <w:color w:val="595959"/>
        <w:sz w:val="20"/>
        <w:szCs w:val="20"/>
      </w:rPr>
      <w:instrText xml:space="preserve">PAGE</w:instrText>
    </w:r>
    <w:r>
      <w:rPr>
        <w:rFonts w:ascii="宋体" w:hAnsi="宋体" w:eastAsia="宋体" w:cs="宋体"/>
        <w:color w:val="595959"/>
        <w:sz w:val="20"/>
        <w:szCs w:val="20"/>
      </w:rPr>
      <w:fldChar w:fldCharType="separate"/>
    </w:r>
    <w:r>
      <w:rPr>
        <w:rFonts w:ascii="宋体" w:hAnsi="宋体" w:eastAsia="宋体" w:cs="宋体"/>
        <w:color w:val="595959"/>
        <w:sz w:val="20"/>
        <w:szCs w:val="20"/>
      </w:rPr>
      <w:fldChar w:fldCharType="end"/>
    </w:r>
    <w:r>
      <w:rPr>
        <w:rFonts w:ascii="宋体" w:hAnsi="宋体" w:eastAsia="宋体" w:cs="宋体"/>
        <w:color w:val="595959"/>
        <w:sz w:val="20"/>
        <w:szCs w:val="20"/>
      </w:rPr>
      <w:t xml:space="preserve"> 页 / 共 </w:t>
    </w:r>
    <w:r>
      <w:rPr>
        <w:rFonts w:ascii="宋体" w:hAnsi="宋体" w:eastAsia="宋体" w:cs="宋体"/>
        <w:color w:val="595959"/>
        <w:sz w:val="20"/>
        <w:szCs w:val="20"/>
      </w:rPr>
      <w:fldChar w:fldCharType="begin"/>
    </w:r>
    <w:r>
      <w:rPr>
        <w:rFonts w:ascii="宋体" w:hAnsi="宋体" w:eastAsia="宋体" w:cs="宋体"/>
        <w:color w:val="595959"/>
        <w:sz w:val="20"/>
        <w:szCs w:val="20"/>
      </w:rPr>
      <w:instrText xml:space="preserve">NUMPAGES</w:instrText>
    </w:r>
    <w:r>
      <w:rPr>
        <w:rFonts w:ascii="宋体" w:hAnsi="宋体" w:eastAsia="宋体" w:cs="宋体"/>
        <w:color w:val="595959"/>
        <w:sz w:val="20"/>
        <w:szCs w:val="20"/>
      </w:rPr>
      <w:fldChar w:fldCharType="separate"/>
    </w:r>
    <w:r>
      <w:rPr>
        <w:rFonts w:ascii="宋体" w:hAnsi="宋体" w:eastAsia="宋体" w:cs="宋体"/>
        <w:color w:val="595959"/>
        <w:sz w:val="20"/>
        <w:szCs w:val="20"/>
      </w:rPr>
      <w:fldChar w:fldCharType="end"/>
    </w:r>
    <w:r>
      <w:rPr>
        <w:rFonts w:ascii="宋体" w:hAnsi="宋体" w:eastAsia="宋体" w:cs="宋体"/>
        <w:color w:val="595959"/>
        <w:sz w:val="20"/>
        <w:szCs w:val="2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B8BF7">
    <w:pPr>
      <w:pBdr>
        <w:bottom w:val="single" w:color="808080" w:sz="6" w:space="1"/>
      </w:pBdr>
      <w:jc w:val="center"/>
    </w:pPr>
    <w:r>
      <w:rPr>
        <w:rFonts w:ascii="宋体" w:hAnsi="宋体" w:eastAsia="宋体" w:cs="宋体"/>
        <w:color w:val="595959"/>
        <w:sz w:val="20"/>
        <w:szCs w:val="20"/>
      </w:rPr>
      <w:t>现金流管理对企业财务稳定性的影响分析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ompat>
    <w:useFELayout/>
    <w:compatSetting w:name="compatibilityMode" w:uri="http://schemas.microsoft.com/office/word" w:val="15"/>
  </w:compat>
  <w:rsids>
    <w:rsidRoot w:val="00000000"/>
    <w:rsid w:val="02A62F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sz w:val="24"/>
      <w:szCs w:val="24"/>
    </w:rPr>
  </w:style>
  <w:style w:type="paragraph" w:styleId="2">
    <w:name w:val="heading 1"/>
    <w:next w:val="1"/>
    <w:qFormat/>
    <w:uiPriority w:val="0"/>
    <w:pPr>
      <w:spacing w:before="480" w:after="360" w:line="480" w:lineRule="auto"/>
      <w:jc w:val="center"/>
      <w:outlineLvl w:val="0"/>
    </w:pPr>
    <w:rPr>
      <w:rFonts w:ascii="黑体" w:hAnsi="黑体" w:eastAsia="黑体" w:cs="黑体"/>
      <w:b/>
      <w:bCs/>
      <w:sz w:val="36"/>
      <w:szCs w:val="36"/>
    </w:rPr>
  </w:style>
  <w:style w:type="paragraph" w:styleId="3">
    <w:name w:val="heading 2"/>
    <w:next w:val="1"/>
    <w:qFormat/>
    <w:uiPriority w:val="0"/>
    <w:pPr>
      <w:spacing w:before="320" w:after="200" w:line="360" w:lineRule="auto"/>
      <w:outlineLvl w:val="1"/>
    </w:pPr>
    <w:rPr>
      <w:rFonts w:ascii="黑体" w:hAnsi="黑体" w:eastAsia="黑体" w:cs="黑体"/>
      <w:b/>
      <w:bCs/>
      <w:sz w:val="28"/>
      <w:szCs w:val="28"/>
    </w:rPr>
  </w:style>
  <w:style w:type="paragraph" w:styleId="4">
    <w:name w:val="heading 3"/>
    <w:next w:val="1"/>
    <w:qFormat/>
    <w:uiPriority w:val="0"/>
    <w:pPr>
      <w:spacing w:before="240" w:after="120" w:line="360" w:lineRule="auto"/>
      <w:outlineLvl w:val="2"/>
    </w:pPr>
    <w:rPr>
      <w:rFonts w:ascii="黑体" w:hAnsi="黑体" w:eastAsia="黑体" w:cs="黑体"/>
      <w:b/>
      <w:bCs/>
      <w:sz w:val="24"/>
      <w:szCs w:val="24"/>
    </w:rPr>
  </w:style>
  <w:style w:type="paragraph" w:styleId="5">
    <w:name w:val="heading 4"/>
    <w:next w:val="1"/>
    <w:qFormat/>
    <w:uiPriority w:val="0"/>
    <w:pPr>
      <w:spacing w:line="360" w:lineRule="auto"/>
    </w:pPr>
    <w:rPr>
      <w:rFonts w:ascii="宋体" w:hAnsi="宋体" w:eastAsia="宋体" w:cs="宋体"/>
      <w:i/>
      <w:iCs/>
      <w:color w:val="2E74B5"/>
      <w:sz w:val="24"/>
      <w:szCs w:val="24"/>
    </w:rPr>
  </w:style>
  <w:style w:type="paragraph" w:styleId="6">
    <w:name w:val="heading 5"/>
    <w:next w:val="1"/>
    <w:qFormat/>
    <w:uiPriority w:val="0"/>
    <w:pPr>
      <w:spacing w:line="360" w:lineRule="auto"/>
    </w:pPr>
    <w:rPr>
      <w:rFonts w:ascii="宋体" w:hAnsi="宋体" w:eastAsia="宋体" w:cs="宋体"/>
      <w:color w:val="2E74B5"/>
      <w:sz w:val="24"/>
      <w:szCs w:val="24"/>
    </w:rPr>
  </w:style>
  <w:style w:type="paragraph" w:styleId="7">
    <w:name w:val="heading 6"/>
    <w:next w:val="1"/>
    <w:qFormat/>
    <w:uiPriority w:val="0"/>
    <w:pPr>
      <w:spacing w:line="360" w:lineRule="auto"/>
    </w:pPr>
    <w:rPr>
      <w:rFonts w:ascii="宋体" w:hAnsi="宋体" w:eastAsia="宋体" w:cs="宋体"/>
      <w:color w:val="1F4D78"/>
      <w:sz w:val="24"/>
      <w:szCs w:val="24"/>
    </w:rPr>
  </w:style>
  <w:style w:type="character" w:default="1" w:styleId="15">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8">
    <w:name w:val="toc 3"/>
    <w:basedOn w:val="1"/>
    <w:next w:val="1"/>
    <w:uiPriority w:val="0"/>
    <w:pPr>
      <w:ind w:left="840" w:leftChars="400"/>
    </w:pPr>
  </w:style>
  <w:style w:type="paragraph" w:styleId="9">
    <w:name w:val="endnote text"/>
    <w:link w:val="21"/>
    <w:semiHidden/>
    <w:unhideWhenUsed/>
    <w:uiPriority w:val="99"/>
    <w:pPr>
      <w:spacing w:after="0" w:line="240" w:lineRule="auto"/>
    </w:pPr>
    <w:rPr>
      <w:rFonts w:ascii="宋体" w:hAnsi="宋体" w:eastAsia="宋体" w:cs="宋体"/>
      <w:sz w:val="20"/>
      <w:szCs w:val="20"/>
    </w:rPr>
  </w:style>
  <w:style w:type="paragraph" w:styleId="10">
    <w:name w:val="toc 1"/>
    <w:basedOn w:val="1"/>
    <w:next w:val="1"/>
    <w:uiPriority w:val="0"/>
  </w:style>
  <w:style w:type="paragraph" w:styleId="11">
    <w:name w:val="footnote text"/>
    <w:link w:val="20"/>
    <w:semiHidden/>
    <w:unhideWhenUsed/>
    <w:uiPriority w:val="99"/>
    <w:pPr>
      <w:spacing w:after="0" w:line="240" w:lineRule="auto"/>
    </w:pPr>
    <w:rPr>
      <w:rFonts w:ascii="宋体" w:hAnsi="宋体" w:eastAsia="宋体" w:cs="宋体"/>
      <w:sz w:val="20"/>
      <w:szCs w:val="20"/>
    </w:rPr>
  </w:style>
  <w:style w:type="paragraph" w:styleId="12">
    <w:name w:val="toc 2"/>
    <w:basedOn w:val="1"/>
    <w:next w:val="1"/>
    <w:uiPriority w:val="0"/>
    <w:pPr>
      <w:ind w:left="420" w:leftChars="200"/>
    </w:pPr>
  </w:style>
  <w:style w:type="paragraph" w:styleId="13">
    <w:name w:val="Title"/>
    <w:qFormat/>
    <w:uiPriority w:val="0"/>
    <w:pPr>
      <w:spacing w:line="360" w:lineRule="auto"/>
    </w:pPr>
    <w:rPr>
      <w:rFonts w:ascii="宋体" w:hAnsi="宋体" w:eastAsia="宋体" w:cs="宋体"/>
      <w:sz w:val="56"/>
      <w:szCs w:val="56"/>
    </w:rPr>
  </w:style>
  <w:style w:type="character" w:styleId="16">
    <w:name w:val="endnote reference"/>
    <w:semiHidden/>
    <w:unhideWhenUsed/>
    <w:uiPriority w:val="99"/>
    <w:rPr>
      <w:vertAlign w:val="superscript"/>
    </w:rPr>
  </w:style>
  <w:style w:type="character" w:styleId="17">
    <w:name w:val="Hyperlink"/>
    <w:unhideWhenUsed/>
    <w:uiPriority w:val="99"/>
    <w:rPr>
      <w:color w:val="0563C1"/>
      <w:u w:val="single"/>
    </w:rPr>
  </w:style>
  <w:style w:type="character" w:styleId="18">
    <w:name w:val="footnote reference"/>
    <w:semiHidden/>
    <w:unhideWhenUsed/>
    <w:uiPriority w:val="99"/>
    <w:rPr>
      <w:vertAlign w:val="superscript"/>
    </w:rPr>
  </w:style>
  <w:style w:type="paragraph" w:styleId="19">
    <w:name w:val="List Paragraph"/>
    <w:qFormat/>
    <w:uiPriority w:val="0"/>
    <w:pPr>
      <w:spacing w:line="360" w:lineRule="auto"/>
    </w:pPr>
    <w:rPr>
      <w:rFonts w:ascii="宋体" w:hAnsi="宋体" w:eastAsia="宋体" w:cs="宋体"/>
      <w:sz w:val="24"/>
      <w:szCs w:val="24"/>
    </w:rPr>
  </w:style>
  <w:style w:type="character" w:customStyle="1" w:styleId="20">
    <w:name w:val="Footnote Text Char"/>
    <w:link w:val="11"/>
    <w:semiHidden/>
    <w:unhideWhenUsed/>
    <w:uiPriority w:val="99"/>
    <w:rPr>
      <w:sz w:val="20"/>
      <w:szCs w:val="20"/>
    </w:rPr>
  </w:style>
  <w:style w:type="character" w:customStyle="1" w:styleId="21">
    <w:name w:val="Endnote Text Char"/>
    <w:link w:val="9"/>
    <w:semiHidden/>
    <w:unhideWhenUsed/>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3906</Words>
  <Characters>5776</Characters>
  <TotalTime>1</TotalTime>
  <ScaleCrop>false</ScaleCrop>
  <LinksUpToDate>false</LinksUpToDate>
  <CharactersWithSpaces>6323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2026-05-22T11:25:00Z</dcterms:created>
  <dc:creator>Cascade</dc:creator>
  <dc:description>数据分析报告</dc:description>
  <cp:lastModifiedBy>WPS_1665158381</cp:lastModifiedBy>
  <dcterms:modified xsi:type="dcterms:W3CDTF">2026-05-22T11:27:33Z</dcterms:modified>
  <dc:title>现金流管理对企业财务稳定性的影响分析</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eyJoZGlkIjoiNTM3MzVjZmMzZDYzNjQyMWFjNTBmMzhkZDU4OWM4OTciLCJ1c2VySWQiOiIxNDE2NjM3MTY5In0=</vt:lpwstr>
  </property>
  <property fmtid="{D5CDD505-2E9C-101B-9397-08002B2CF9AE}" pid="3" name="KSOProductBuildVer">
    <vt:lpwstr>2052-12.1.0.26375</vt:lpwstr>
  </property>
  <property fmtid="{D5CDD505-2E9C-101B-9397-08002B2CF9AE}" pid="4" name="ICV">
    <vt:lpwstr>918C91E9B79A4B7C85DDCB45EDA019CA_12</vt:lpwstr>
  </property>
</Properties>
</file>