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6D7B9F">
      <w:pPr>
        <w:spacing w:line="360" w:lineRule="auto"/>
        <w:ind w:firstLine="0" w:firstLineChars="0"/>
        <w:rPr>
          <w:rFonts w:cs="Times New Roman"/>
          <w:color w:val="000000"/>
          <w:sz w:val="30"/>
          <w:szCs w:val="30"/>
        </w:rPr>
      </w:pPr>
      <w:bookmarkStart w:id="0" w:name="heading_0"/>
    </w:p>
    <w:p w14:paraId="105015AA">
      <w:pPr>
        <w:spacing w:line="360" w:lineRule="auto"/>
        <w:ind w:firstLine="0" w:firstLineChars="0"/>
        <w:rPr>
          <w:rFonts w:cs="Times New Roman"/>
          <w:color w:val="000000"/>
          <w:sz w:val="30"/>
          <w:szCs w:val="30"/>
        </w:rPr>
      </w:pPr>
    </w:p>
    <w:p w14:paraId="06621BE5">
      <w:pPr>
        <w:spacing w:line="360" w:lineRule="auto"/>
        <w:ind w:firstLine="0" w:firstLineChars="0"/>
        <w:jc w:val="center"/>
        <w:rPr>
          <w:rFonts w:cs="Times New Roman"/>
          <w:b/>
          <w:bCs/>
          <w:color w:val="000000"/>
          <w:sz w:val="44"/>
          <w:szCs w:val="30"/>
        </w:rPr>
      </w:pPr>
      <w:r>
        <w:rPr>
          <w:rFonts w:cs="Times New Roman"/>
          <w:b/>
          <w:bCs/>
          <w:color w:val="000000"/>
          <w:sz w:val="44"/>
          <w:szCs w:val="30"/>
        </w:rPr>
        <w:t>2025-2026学年第2学期</w:t>
      </w:r>
    </w:p>
    <w:p w14:paraId="5282E061">
      <w:pPr>
        <w:spacing w:line="360" w:lineRule="auto"/>
        <w:ind w:firstLine="0" w:firstLineChars="0"/>
        <w:jc w:val="center"/>
        <w:rPr>
          <w:rFonts w:cs="Times New Roman"/>
          <w:b/>
          <w:bCs/>
          <w:color w:val="000000"/>
          <w:sz w:val="44"/>
          <w:szCs w:val="30"/>
        </w:rPr>
      </w:pPr>
      <w:r>
        <w:rPr>
          <w:rFonts w:cs="Times New Roman"/>
          <w:b/>
          <w:bCs/>
          <w:color w:val="000000"/>
          <w:sz w:val="44"/>
          <w:szCs w:val="30"/>
        </w:rPr>
        <w:t>《数据思维与人工智能》课程报告</w:t>
      </w:r>
    </w:p>
    <w:tbl>
      <w:tblPr>
        <w:tblStyle w:val="13"/>
        <w:tblpPr w:leftFromText="180" w:rightFromText="180" w:vertAnchor="text" w:tblpXSpec="center" w:tblpY="407"/>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4"/>
        <w:gridCol w:w="1701"/>
        <w:gridCol w:w="1417"/>
        <w:gridCol w:w="3969"/>
        <w:gridCol w:w="372"/>
        <w:gridCol w:w="1187"/>
      </w:tblGrid>
      <w:tr w14:paraId="6EF1D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2235" w:type="dxa"/>
            <w:gridSpan w:val="2"/>
            <w:vAlign w:val="center"/>
          </w:tcPr>
          <w:p w14:paraId="75A1E0D7">
            <w:pPr>
              <w:spacing w:line="240" w:lineRule="auto"/>
              <w:ind w:firstLine="0" w:firstLineChars="0"/>
              <w:jc w:val="center"/>
              <w:rPr>
                <w:rFonts w:cs="Times New Roman"/>
                <w:b/>
                <w:szCs w:val="21"/>
              </w:rPr>
            </w:pPr>
            <w:r>
              <w:rPr>
                <w:rFonts w:cs="Times New Roman"/>
                <w:b/>
                <w:szCs w:val="21"/>
              </w:rPr>
              <w:t>选题名称</w:t>
            </w:r>
          </w:p>
        </w:tc>
        <w:tc>
          <w:tcPr>
            <w:tcW w:w="6945" w:type="dxa"/>
            <w:gridSpan w:val="4"/>
            <w:vAlign w:val="center"/>
          </w:tcPr>
          <w:p w14:paraId="1011A4AE">
            <w:pPr>
              <w:spacing w:line="240" w:lineRule="auto"/>
              <w:ind w:firstLine="0" w:firstLineChars="0"/>
              <w:jc w:val="left"/>
              <w:rPr>
                <w:rFonts w:hint="default" w:cs="Times New Roman" w:eastAsiaTheme="minorEastAsia"/>
                <w:color w:val="FF0000"/>
                <w:szCs w:val="21"/>
                <w:lang w:val="en-US" w:eastAsia="zh-CN"/>
              </w:rPr>
            </w:pPr>
            <w:r>
              <w:rPr>
                <w:rFonts w:hint="eastAsia" w:cs="Times New Roman"/>
                <w:color w:val="000000"/>
                <w:szCs w:val="21"/>
                <w:lang w:val="en-US" w:eastAsia="zh-CN"/>
              </w:rPr>
              <w:t>A股财务数据分析与股价预测</w:t>
            </w:r>
          </w:p>
        </w:tc>
      </w:tr>
      <w:tr w14:paraId="3061B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restart"/>
            <w:vAlign w:val="center"/>
          </w:tcPr>
          <w:p w14:paraId="71535D2D">
            <w:pPr>
              <w:spacing w:before="48" w:beforeLines="20" w:after="48" w:afterLines="20"/>
              <w:ind w:firstLine="0" w:firstLineChars="0"/>
              <w:jc w:val="center"/>
              <w:rPr>
                <w:rFonts w:cs="Times New Roman"/>
                <w:b/>
                <w:szCs w:val="21"/>
              </w:rPr>
            </w:pPr>
            <w:r>
              <w:rPr>
                <w:rFonts w:cs="Times New Roman"/>
                <w:b/>
                <w:szCs w:val="21"/>
              </w:rPr>
              <w:t>小组成员</w:t>
            </w:r>
          </w:p>
        </w:tc>
        <w:tc>
          <w:tcPr>
            <w:tcW w:w="1701" w:type="dxa"/>
            <w:vAlign w:val="center"/>
          </w:tcPr>
          <w:p w14:paraId="1C000B06">
            <w:pPr>
              <w:spacing w:line="240" w:lineRule="auto"/>
              <w:ind w:firstLine="5" w:firstLineChars="2"/>
              <w:jc w:val="center"/>
              <w:rPr>
                <w:rFonts w:cs="Times New Roman"/>
                <w:b/>
                <w:szCs w:val="21"/>
              </w:rPr>
            </w:pPr>
            <w:r>
              <w:rPr>
                <w:rFonts w:cs="Times New Roman"/>
                <w:b/>
                <w:szCs w:val="21"/>
              </w:rPr>
              <w:t>学号</w:t>
            </w:r>
          </w:p>
        </w:tc>
        <w:tc>
          <w:tcPr>
            <w:tcW w:w="1417" w:type="dxa"/>
            <w:vAlign w:val="center"/>
          </w:tcPr>
          <w:p w14:paraId="404ABC2A">
            <w:pPr>
              <w:spacing w:line="240" w:lineRule="auto"/>
              <w:ind w:firstLine="0" w:firstLineChars="0"/>
              <w:jc w:val="center"/>
              <w:rPr>
                <w:rFonts w:cs="Times New Roman"/>
                <w:b/>
                <w:szCs w:val="21"/>
              </w:rPr>
            </w:pPr>
            <w:r>
              <w:rPr>
                <w:rFonts w:cs="Times New Roman"/>
                <w:b/>
                <w:color w:val="000000"/>
                <w:szCs w:val="21"/>
              </w:rPr>
              <w:t>姓名</w:t>
            </w:r>
          </w:p>
        </w:tc>
        <w:tc>
          <w:tcPr>
            <w:tcW w:w="4341" w:type="dxa"/>
            <w:gridSpan w:val="2"/>
            <w:vAlign w:val="center"/>
          </w:tcPr>
          <w:p w14:paraId="7F1C2131">
            <w:pPr>
              <w:spacing w:line="240" w:lineRule="auto"/>
              <w:ind w:firstLine="0" w:firstLineChars="0"/>
              <w:jc w:val="center"/>
              <w:rPr>
                <w:rFonts w:cs="Times New Roman"/>
                <w:b/>
                <w:szCs w:val="21"/>
              </w:rPr>
            </w:pPr>
            <w:r>
              <w:rPr>
                <w:rFonts w:cs="Times New Roman"/>
                <w:b/>
                <w:szCs w:val="21"/>
              </w:rPr>
              <w:t>任务分工</w:t>
            </w:r>
          </w:p>
        </w:tc>
        <w:tc>
          <w:tcPr>
            <w:tcW w:w="1187" w:type="dxa"/>
            <w:vAlign w:val="center"/>
          </w:tcPr>
          <w:p w14:paraId="2E6E21C1">
            <w:pPr>
              <w:spacing w:line="240" w:lineRule="auto"/>
              <w:ind w:firstLine="0" w:firstLineChars="0"/>
              <w:jc w:val="center"/>
              <w:rPr>
                <w:rFonts w:cs="Times New Roman"/>
                <w:b/>
                <w:szCs w:val="21"/>
              </w:rPr>
            </w:pPr>
            <w:r>
              <w:rPr>
                <w:rFonts w:cs="Times New Roman"/>
                <w:b/>
                <w:szCs w:val="21"/>
              </w:rPr>
              <w:t>贡献排序</w:t>
            </w:r>
          </w:p>
        </w:tc>
      </w:tr>
      <w:tr w14:paraId="721A4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vAlign w:val="center"/>
          </w:tcPr>
          <w:p w14:paraId="3B97A267">
            <w:pPr>
              <w:spacing w:before="48" w:beforeLines="20" w:after="48" w:afterLines="20"/>
              <w:ind w:firstLine="480"/>
              <w:jc w:val="center"/>
              <w:rPr>
                <w:rFonts w:cs="Times New Roman"/>
                <w:color w:val="FF0000"/>
                <w:szCs w:val="21"/>
              </w:rPr>
            </w:pPr>
          </w:p>
        </w:tc>
        <w:tc>
          <w:tcPr>
            <w:tcW w:w="1701" w:type="dxa"/>
            <w:vAlign w:val="center"/>
          </w:tcPr>
          <w:p w14:paraId="3ECF8103">
            <w:pPr>
              <w:spacing w:line="240" w:lineRule="auto"/>
              <w:ind w:left="0" w:leftChars="0" w:firstLine="0" w:firstLineChars="0"/>
              <w:jc w:val="center"/>
              <w:rPr>
                <w:rFonts w:hint="default" w:cs="Times New Roman" w:eastAsiaTheme="minorEastAsia"/>
                <w:color w:val="000000"/>
                <w:szCs w:val="21"/>
                <w:lang w:val="en-US" w:eastAsia="zh-CN"/>
              </w:rPr>
            </w:pPr>
          </w:p>
        </w:tc>
        <w:tc>
          <w:tcPr>
            <w:tcW w:w="1417" w:type="dxa"/>
            <w:vAlign w:val="center"/>
          </w:tcPr>
          <w:p w14:paraId="0A194357">
            <w:pPr>
              <w:spacing w:line="240" w:lineRule="auto"/>
              <w:ind w:left="0" w:leftChars="0" w:firstLine="0" w:firstLineChars="0"/>
              <w:jc w:val="center"/>
              <w:rPr>
                <w:rFonts w:hint="default" w:cs="Times New Roman" w:eastAsiaTheme="minorEastAsia"/>
                <w:color w:val="FF0000"/>
                <w:szCs w:val="21"/>
                <w:lang w:val="en-US" w:eastAsia="zh-CN"/>
              </w:rPr>
            </w:pPr>
          </w:p>
        </w:tc>
        <w:tc>
          <w:tcPr>
            <w:tcW w:w="4341" w:type="dxa"/>
            <w:gridSpan w:val="2"/>
            <w:vAlign w:val="center"/>
          </w:tcPr>
          <w:p w14:paraId="2BFC70A2">
            <w:pPr>
              <w:spacing w:line="240" w:lineRule="auto"/>
              <w:ind w:left="0" w:leftChars="0" w:firstLine="0" w:firstLineChars="0"/>
              <w:jc w:val="left"/>
              <w:rPr>
                <w:rFonts w:hint="default" w:cs="Times New Roman" w:eastAsiaTheme="minorEastAsia"/>
                <w:color w:val="FF0000"/>
                <w:szCs w:val="21"/>
                <w:lang w:val="en-US" w:eastAsia="zh-CN"/>
              </w:rPr>
            </w:pPr>
          </w:p>
        </w:tc>
        <w:tc>
          <w:tcPr>
            <w:tcW w:w="1187" w:type="dxa"/>
            <w:vAlign w:val="center"/>
          </w:tcPr>
          <w:p w14:paraId="325EC835">
            <w:pPr>
              <w:spacing w:line="240" w:lineRule="auto"/>
              <w:ind w:firstLine="480"/>
              <w:jc w:val="left"/>
              <w:rPr>
                <w:rFonts w:hint="eastAsia" w:cs="Times New Roman" w:eastAsiaTheme="minorEastAsia"/>
                <w:color w:val="FF0000"/>
                <w:szCs w:val="21"/>
                <w:lang w:val="en-US" w:eastAsia="zh-CN"/>
              </w:rPr>
            </w:pPr>
          </w:p>
        </w:tc>
      </w:tr>
      <w:tr w14:paraId="1427E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vAlign w:val="center"/>
          </w:tcPr>
          <w:p w14:paraId="253BBEBC">
            <w:pPr>
              <w:spacing w:before="48" w:beforeLines="20" w:after="48" w:afterLines="20"/>
              <w:ind w:firstLine="480"/>
              <w:jc w:val="center"/>
              <w:rPr>
                <w:rFonts w:cs="Times New Roman"/>
                <w:color w:val="FF0000"/>
                <w:szCs w:val="21"/>
              </w:rPr>
            </w:pPr>
          </w:p>
        </w:tc>
        <w:tc>
          <w:tcPr>
            <w:tcW w:w="1701" w:type="dxa"/>
            <w:vAlign w:val="center"/>
          </w:tcPr>
          <w:p w14:paraId="1EE06FE0">
            <w:pPr>
              <w:spacing w:line="240" w:lineRule="auto"/>
              <w:ind w:left="0" w:leftChars="0" w:firstLine="0" w:firstLineChars="0"/>
              <w:jc w:val="center"/>
              <w:rPr>
                <w:rFonts w:hint="default" w:cs="Times New Roman" w:eastAsiaTheme="minorEastAsia"/>
                <w:color w:val="FF0000"/>
                <w:szCs w:val="21"/>
                <w:lang w:val="en-US" w:eastAsia="zh-CN"/>
              </w:rPr>
            </w:pPr>
          </w:p>
        </w:tc>
        <w:tc>
          <w:tcPr>
            <w:tcW w:w="1417" w:type="dxa"/>
            <w:vAlign w:val="center"/>
          </w:tcPr>
          <w:p w14:paraId="48F2BDEE">
            <w:pPr>
              <w:spacing w:line="240" w:lineRule="auto"/>
              <w:ind w:left="0" w:leftChars="0" w:firstLine="0" w:firstLineChars="0"/>
              <w:jc w:val="center"/>
              <w:rPr>
                <w:rFonts w:hint="eastAsia" w:cs="Times New Roman" w:eastAsiaTheme="minorEastAsia"/>
                <w:color w:val="000000"/>
                <w:szCs w:val="21"/>
                <w:lang w:val="en-US" w:eastAsia="zh-CN"/>
              </w:rPr>
            </w:pPr>
          </w:p>
        </w:tc>
        <w:tc>
          <w:tcPr>
            <w:tcW w:w="4341" w:type="dxa"/>
            <w:gridSpan w:val="2"/>
            <w:vAlign w:val="center"/>
          </w:tcPr>
          <w:p w14:paraId="42D1AF08">
            <w:pPr>
              <w:spacing w:line="240" w:lineRule="auto"/>
              <w:ind w:left="0" w:leftChars="0" w:firstLine="0" w:firstLineChars="0"/>
              <w:jc w:val="left"/>
              <w:rPr>
                <w:rFonts w:hint="default" w:cs="Times New Roman" w:eastAsiaTheme="minorEastAsia"/>
                <w:color w:val="FF0000"/>
                <w:szCs w:val="21"/>
                <w:lang w:val="en-US" w:eastAsia="zh-CN"/>
              </w:rPr>
            </w:pPr>
          </w:p>
        </w:tc>
        <w:tc>
          <w:tcPr>
            <w:tcW w:w="1187" w:type="dxa"/>
            <w:vAlign w:val="center"/>
          </w:tcPr>
          <w:p w14:paraId="75D81558">
            <w:pPr>
              <w:spacing w:line="240" w:lineRule="auto"/>
              <w:ind w:firstLine="480"/>
              <w:jc w:val="left"/>
              <w:rPr>
                <w:rFonts w:hint="eastAsia" w:cs="Times New Roman" w:eastAsiaTheme="minorEastAsia"/>
                <w:color w:val="FF0000"/>
                <w:szCs w:val="21"/>
                <w:lang w:val="en-US" w:eastAsia="zh-CN"/>
              </w:rPr>
            </w:pPr>
          </w:p>
        </w:tc>
      </w:tr>
      <w:tr w14:paraId="5F227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vAlign w:val="center"/>
          </w:tcPr>
          <w:p w14:paraId="1ABA75EA">
            <w:pPr>
              <w:spacing w:before="48" w:beforeLines="20" w:after="48" w:afterLines="20"/>
              <w:ind w:firstLine="480"/>
              <w:jc w:val="center"/>
              <w:rPr>
                <w:rFonts w:cs="Times New Roman"/>
                <w:color w:val="FF0000"/>
                <w:szCs w:val="21"/>
              </w:rPr>
            </w:pPr>
          </w:p>
        </w:tc>
        <w:tc>
          <w:tcPr>
            <w:tcW w:w="1701" w:type="dxa"/>
            <w:vAlign w:val="center"/>
          </w:tcPr>
          <w:p w14:paraId="6E5306B3">
            <w:pPr>
              <w:spacing w:line="240" w:lineRule="auto"/>
              <w:ind w:firstLine="480"/>
              <w:jc w:val="center"/>
              <w:rPr>
                <w:rFonts w:cs="Times New Roman"/>
                <w:color w:val="FF0000"/>
                <w:szCs w:val="21"/>
              </w:rPr>
            </w:pPr>
          </w:p>
        </w:tc>
        <w:tc>
          <w:tcPr>
            <w:tcW w:w="1417" w:type="dxa"/>
            <w:vAlign w:val="center"/>
          </w:tcPr>
          <w:p w14:paraId="018DA58C">
            <w:pPr>
              <w:spacing w:line="240" w:lineRule="auto"/>
              <w:ind w:firstLine="480"/>
              <w:jc w:val="center"/>
              <w:rPr>
                <w:rFonts w:cs="Times New Roman"/>
                <w:color w:val="FF0000"/>
                <w:szCs w:val="21"/>
              </w:rPr>
            </w:pPr>
          </w:p>
        </w:tc>
        <w:tc>
          <w:tcPr>
            <w:tcW w:w="4341" w:type="dxa"/>
            <w:gridSpan w:val="2"/>
            <w:vAlign w:val="center"/>
          </w:tcPr>
          <w:p w14:paraId="44F32641">
            <w:pPr>
              <w:spacing w:line="240" w:lineRule="auto"/>
              <w:ind w:firstLine="480"/>
              <w:jc w:val="left"/>
              <w:rPr>
                <w:rFonts w:cs="Times New Roman"/>
                <w:color w:val="FF0000"/>
                <w:szCs w:val="21"/>
              </w:rPr>
            </w:pPr>
          </w:p>
        </w:tc>
        <w:tc>
          <w:tcPr>
            <w:tcW w:w="1187" w:type="dxa"/>
            <w:vAlign w:val="center"/>
          </w:tcPr>
          <w:p w14:paraId="75B0E1B4">
            <w:pPr>
              <w:spacing w:line="240" w:lineRule="auto"/>
              <w:ind w:firstLine="480"/>
              <w:jc w:val="left"/>
              <w:rPr>
                <w:rFonts w:cs="Times New Roman"/>
                <w:color w:val="FF0000"/>
                <w:szCs w:val="21"/>
              </w:rPr>
            </w:pPr>
          </w:p>
        </w:tc>
      </w:tr>
      <w:tr w14:paraId="528FFC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534" w:type="dxa"/>
            <w:vMerge w:val="continue"/>
            <w:vAlign w:val="center"/>
          </w:tcPr>
          <w:p w14:paraId="197B70DD">
            <w:pPr>
              <w:spacing w:before="48" w:beforeLines="20" w:after="48" w:afterLines="20"/>
              <w:ind w:firstLine="480"/>
              <w:jc w:val="center"/>
              <w:rPr>
                <w:rFonts w:cs="Times New Roman"/>
                <w:color w:val="FF0000"/>
                <w:szCs w:val="21"/>
              </w:rPr>
            </w:pPr>
          </w:p>
        </w:tc>
        <w:tc>
          <w:tcPr>
            <w:tcW w:w="1701" w:type="dxa"/>
            <w:vAlign w:val="center"/>
          </w:tcPr>
          <w:p w14:paraId="5430B200">
            <w:pPr>
              <w:spacing w:line="240" w:lineRule="auto"/>
              <w:ind w:firstLine="480"/>
              <w:jc w:val="center"/>
              <w:rPr>
                <w:rFonts w:cs="Times New Roman"/>
                <w:color w:val="FF0000"/>
                <w:szCs w:val="21"/>
              </w:rPr>
            </w:pPr>
          </w:p>
        </w:tc>
        <w:tc>
          <w:tcPr>
            <w:tcW w:w="1417" w:type="dxa"/>
            <w:vAlign w:val="center"/>
          </w:tcPr>
          <w:p w14:paraId="00F8CEAD">
            <w:pPr>
              <w:spacing w:line="240" w:lineRule="auto"/>
              <w:ind w:firstLine="480"/>
              <w:jc w:val="center"/>
              <w:rPr>
                <w:rFonts w:cs="Times New Roman"/>
                <w:color w:val="FF0000"/>
                <w:szCs w:val="21"/>
              </w:rPr>
            </w:pPr>
          </w:p>
        </w:tc>
        <w:tc>
          <w:tcPr>
            <w:tcW w:w="4341" w:type="dxa"/>
            <w:gridSpan w:val="2"/>
            <w:vAlign w:val="center"/>
          </w:tcPr>
          <w:p w14:paraId="6A9A7DA3">
            <w:pPr>
              <w:spacing w:line="240" w:lineRule="auto"/>
              <w:ind w:firstLine="480"/>
              <w:jc w:val="left"/>
              <w:rPr>
                <w:rFonts w:cs="Times New Roman"/>
                <w:color w:val="FF0000"/>
                <w:szCs w:val="21"/>
              </w:rPr>
            </w:pPr>
          </w:p>
        </w:tc>
        <w:tc>
          <w:tcPr>
            <w:tcW w:w="1187" w:type="dxa"/>
            <w:vAlign w:val="center"/>
          </w:tcPr>
          <w:p w14:paraId="4A18C2D1">
            <w:pPr>
              <w:spacing w:line="240" w:lineRule="auto"/>
              <w:ind w:firstLine="480"/>
              <w:jc w:val="left"/>
              <w:rPr>
                <w:rFonts w:cs="Times New Roman"/>
                <w:color w:val="FF0000"/>
                <w:szCs w:val="21"/>
              </w:rPr>
            </w:pPr>
          </w:p>
        </w:tc>
      </w:tr>
      <w:tr w14:paraId="38652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621" w:type="dxa"/>
            <w:gridSpan w:val="4"/>
            <w:vAlign w:val="center"/>
          </w:tcPr>
          <w:p w14:paraId="55627C0A">
            <w:pPr>
              <w:spacing w:line="240" w:lineRule="auto"/>
              <w:ind w:firstLine="0" w:firstLineChars="0"/>
              <w:jc w:val="center"/>
              <w:rPr>
                <w:rFonts w:cs="Times New Roman"/>
                <w:b/>
                <w:szCs w:val="21"/>
              </w:rPr>
            </w:pPr>
            <w:r>
              <w:rPr>
                <w:rFonts w:cs="Times New Roman"/>
                <w:b/>
                <w:szCs w:val="21"/>
              </w:rPr>
              <w:t>评价指标</w:t>
            </w:r>
          </w:p>
        </w:tc>
        <w:tc>
          <w:tcPr>
            <w:tcW w:w="1559" w:type="dxa"/>
            <w:gridSpan w:val="2"/>
            <w:vAlign w:val="center"/>
          </w:tcPr>
          <w:p w14:paraId="05736383">
            <w:pPr>
              <w:spacing w:line="240" w:lineRule="auto"/>
              <w:ind w:firstLine="5" w:firstLineChars="2"/>
              <w:jc w:val="center"/>
              <w:rPr>
                <w:rFonts w:cs="Times New Roman"/>
                <w:b/>
                <w:szCs w:val="21"/>
              </w:rPr>
            </w:pPr>
            <w:r>
              <w:rPr>
                <w:rFonts w:cs="Times New Roman"/>
                <w:b/>
                <w:szCs w:val="21"/>
              </w:rPr>
              <w:t>教师评分</w:t>
            </w:r>
          </w:p>
        </w:tc>
      </w:tr>
      <w:tr w14:paraId="21F73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6" w:hRule="atLeast"/>
        </w:trPr>
        <w:tc>
          <w:tcPr>
            <w:tcW w:w="7621" w:type="dxa"/>
            <w:gridSpan w:val="4"/>
            <w:vAlign w:val="center"/>
          </w:tcPr>
          <w:p w14:paraId="216AF22E">
            <w:pPr>
              <w:pStyle w:val="25"/>
              <w:numPr>
                <w:ilvl w:val="0"/>
                <w:numId w:val="1"/>
              </w:numPr>
              <w:spacing w:before="120" w:beforeLines="50" w:line="240" w:lineRule="auto"/>
              <w:ind w:left="0" w:firstLine="0" w:firstLineChars="0"/>
              <w:rPr>
                <w:rFonts w:cs="Times New Roman"/>
                <w:bCs/>
              </w:rPr>
            </w:pPr>
            <w:r>
              <w:rPr>
                <w:rFonts w:hint="eastAsia" w:cs="Times New Roman"/>
                <w:b/>
                <w:bCs/>
              </w:rPr>
              <w:t>问题定义与理解（10%）</w:t>
            </w:r>
            <w:r>
              <w:rPr>
                <w:rFonts w:hint="eastAsia" w:cs="Times New Roman"/>
                <w:bCs/>
              </w:rPr>
              <w:t>：明确提出待解决的实际问题或业务目标，阐述问题的背景与价值，界定分析范围和关键假设。体现从问题出发的数据思维。</w:t>
            </w:r>
          </w:p>
          <w:p w14:paraId="5B04D24F">
            <w:pPr>
              <w:pStyle w:val="25"/>
              <w:numPr>
                <w:ilvl w:val="0"/>
                <w:numId w:val="1"/>
              </w:numPr>
              <w:spacing w:before="120" w:beforeLines="50" w:line="240" w:lineRule="auto"/>
              <w:ind w:left="0" w:firstLine="0" w:firstLineChars="0"/>
              <w:rPr>
                <w:rFonts w:cs="Times New Roman"/>
                <w:bCs/>
              </w:rPr>
            </w:pPr>
            <w:r>
              <w:rPr>
                <w:rFonts w:hint="eastAsia" w:cs="Times New Roman"/>
                <w:b/>
                <w:bCs/>
              </w:rPr>
              <w:t>文档规范（</w:t>
            </w:r>
            <w:r>
              <w:rPr>
                <w:rFonts w:cs="Times New Roman"/>
                <w:b/>
                <w:bCs/>
              </w:rPr>
              <w:t>20</w:t>
            </w:r>
            <w:r>
              <w:rPr>
                <w:rFonts w:hint="eastAsia" w:cs="Times New Roman"/>
                <w:b/>
                <w:bCs/>
              </w:rPr>
              <w:t>%）</w:t>
            </w:r>
            <w:r>
              <w:rPr>
                <w:rFonts w:hint="eastAsia" w:cs="Times New Roman"/>
                <w:bCs/>
              </w:rPr>
              <w:t>：报告结构完整、层次分明，逻辑清晰；格式统一规范；语言通顺严谨，专业术语使用准确无误。</w:t>
            </w:r>
          </w:p>
          <w:p w14:paraId="2489359E">
            <w:pPr>
              <w:pStyle w:val="25"/>
              <w:numPr>
                <w:ilvl w:val="0"/>
                <w:numId w:val="1"/>
              </w:numPr>
              <w:spacing w:before="120" w:beforeLines="50" w:line="240" w:lineRule="auto"/>
              <w:ind w:left="0" w:firstLine="0" w:firstLineChars="0"/>
              <w:rPr>
                <w:rFonts w:cs="Times New Roman"/>
                <w:bCs/>
              </w:rPr>
            </w:pPr>
            <w:r>
              <w:rPr>
                <w:rFonts w:hint="eastAsia" w:cs="Times New Roman"/>
                <w:b/>
                <w:bCs/>
              </w:rPr>
              <w:t>数据获取与清洗（20%）：</w:t>
            </w:r>
            <w:r>
              <w:rPr>
                <w:rFonts w:hint="eastAsia" w:cs="Times New Roman"/>
                <w:bCs/>
              </w:rPr>
              <w:t>数据来源合理可靠；获取过程描述清晰、可复现；清洗方法得当，能有效识别并处理缺失值、异常值、重复值等；过程中体现对数据质量的审视与改进。</w:t>
            </w:r>
          </w:p>
          <w:p w14:paraId="7A406BD2">
            <w:pPr>
              <w:pStyle w:val="25"/>
              <w:numPr>
                <w:ilvl w:val="0"/>
                <w:numId w:val="1"/>
              </w:numPr>
              <w:spacing w:before="120" w:beforeLines="50" w:line="240" w:lineRule="auto"/>
              <w:ind w:left="0" w:firstLine="0" w:firstLineChars="0"/>
              <w:rPr>
                <w:rFonts w:cs="Times New Roman"/>
                <w:bCs/>
              </w:rPr>
            </w:pPr>
            <w:r>
              <w:rPr>
                <w:rFonts w:hint="eastAsia" w:cs="Times New Roman"/>
                <w:b/>
                <w:bCs/>
              </w:rPr>
              <w:t>可视化与AI应用（30%）：</w:t>
            </w:r>
            <w:r>
              <w:rPr>
                <w:rFonts w:hint="eastAsia" w:cs="Times New Roman"/>
                <w:bCs/>
              </w:rPr>
              <w:t>图表选择恰当，设计美观、信息传达高效；AI模型选取贴合任务需求（如回归、分类、聚类等）；模型建立、训练、验证/评估全流程规范完整（如数据划分、超参数调优、性能指标等）；能结合可视化与分析结果解释模型行为。</w:t>
            </w:r>
          </w:p>
          <w:p w14:paraId="0E69B074">
            <w:pPr>
              <w:pStyle w:val="25"/>
              <w:numPr>
                <w:ilvl w:val="0"/>
                <w:numId w:val="1"/>
              </w:numPr>
              <w:spacing w:before="120" w:beforeLines="50" w:line="240" w:lineRule="auto"/>
              <w:ind w:left="0" w:firstLine="0" w:firstLineChars="0"/>
              <w:rPr>
                <w:rFonts w:cs="Times New Roman"/>
                <w:szCs w:val="21"/>
              </w:rPr>
            </w:pPr>
            <w:r>
              <w:rPr>
                <w:rFonts w:hint="eastAsia" w:cs="Times New Roman"/>
                <w:b/>
                <w:bCs/>
              </w:rPr>
              <w:t>分析与结论（20%）：</w:t>
            </w:r>
            <w:r>
              <w:rPr>
                <w:rFonts w:hint="eastAsia" w:cs="Times New Roman"/>
                <w:bCs/>
              </w:rPr>
              <w:t>数据分析逻辑严谨，能有效回应定义的问题；基于分析结果和模型给出结论；对结论的局限性或改进方向有所讨论；整体突出数据与AI融合解决实际问题的能力。</w:t>
            </w:r>
          </w:p>
        </w:tc>
        <w:tc>
          <w:tcPr>
            <w:tcW w:w="1559" w:type="dxa"/>
            <w:gridSpan w:val="2"/>
            <w:vAlign w:val="center"/>
          </w:tcPr>
          <w:p w14:paraId="3029AEF7">
            <w:pPr>
              <w:spacing w:before="48" w:beforeLines="20" w:after="48" w:afterLines="20"/>
              <w:ind w:firstLine="720"/>
              <w:jc w:val="center"/>
              <w:rPr>
                <w:rFonts w:cs="Times New Roman"/>
                <w:sz w:val="36"/>
                <w:szCs w:val="36"/>
              </w:rPr>
            </w:pPr>
          </w:p>
        </w:tc>
      </w:tr>
    </w:tbl>
    <w:p w14:paraId="1B00C03D">
      <w:pPr>
        <w:spacing w:line="360" w:lineRule="auto"/>
        <w:ind w:firstLine="480"/>
        <w:rPr>
          <w:rFonts w:cs="Times New Roman"/>
          <w:color w:val="000000"/>
          <w:szCs w:val="30"/>
        </w:rPr>
      </w:pPr>
    </w:p>
    <w:p w14:paraId="35E4A760">
      <w:pPr>
        <w:widowControl/>
        <w:ind w:firstLine="480"/>
        <w:jc w:val="left"/>
        <w:rPr>
          <w:rFonts w:cs="Times New Roman"/>
          <w:color w:val="000000"/>
          <w:szCs w:val="30"/>
        </w:rPr>
      </w:pPr>
    </w:p>
    <w:p w14:paraId="6875A6D4">
      <w:pPr>
        <w:widowControl/>
        <w:ind w:firstLine="723"/>
        <w:jc w:val="left"/>
        <w:rPr>
          <w:rFonts w:cs="Times New Roman"/>
          <w:b/>
          <w:color w:val="000000"/>
          <w:sz w:val="36"/>
          <w:szCs w:val="36"/>
        </w:rPr>
      </w:pPr>
      <w:r>
        <w:rPr>
          <w:rFonts w:cs="Times New Roman"/>
          <w:b/>
          <w:color w:val="000000"/>
          <w:sz w:val="36"/>
          <w:szCs w:val="36"/>
        </w:rPr>
        <w:br w:type="page"/>
      </w:r>
    </w:p>
    <w:p w14:paraId="79F72BAD">
      <w:pPr>
        <w:widowControl/>
        <w:ind w:firstLine="0" w:firstLineChars="0"/>
        <w:jc w:val="center"/>
        <w:rPr>
          <w:rFonts w:cs="Times New Roman"/>
          <w:b/>
          <w:color w:val="000000"/>
          <w:sz w:val="36"/>
          <w:szCs w:val="36"/>
        </w:rPr>
      </w:pPr>
      <w:r>
        <w:rPr>
          <w:rFonts w:cs="Times New Roman"/>
          <w:b/>
          <w:color w:val="000000"/>
          <w:sz w:val="36"/>
          <w:szCs w:val="36"/>
        </w:rPr>
        <w:t>说    明</w:t>
      </w:r>
    </w:p>
    <w:p w14:paraId="571B7C3F">
      <w:pPr>
        <w:widowControl/>
        <w:ind w:firstLine="723"/>
        <w:jc w:val="center"/>
        <w:rPr>
          <w:rFonts w:cs="Times New Roman"/>
          <w:b/>
          <w:color w:val="000000"/>
          <w:sz w:val="36"/>
          <w:szCs w:val="36"/>
        </w:rPr>
      </w:pPr>
      <w:bookmarkStart w:id="1" w:name="OLE_LINK21"/>
      <w:bookmarkStart w:id="2" w:name="OLE_LINK22"/>
    </w:p>
    <w:p w14:paraId="6289B097">
      <w:pPr>
        <w:widowControl/>
        <w:numPr>
          <w:ilvl w:val="0"/>
          <w:numId w:val="2"/>
        </w:numPr>
        <w:spacing w:line="360" w:lineRule="auto"/>
        <w:ind w:left="283" w:hanging="283" w:hangingChars="118"/>
        <w:rPr>
          <w:rFonts w:cs="Times New Roman"/>
          <w:color w:val="000000"/>
          <w:szCs w:val="21"/>
        </w:rPr>
      </w:pPr>
      <w:r>
        <w:rPr>
          <w:rFonts w:cs="Times New Roman"/>
          <w:color w:val="000000"/>
          <w:szCs w:val="21"/>
        </w:rPr>
        <w:t>本课程</w:t>
      </w:r>
      <w:r>
        <w:rPr>
          <w:rFonts w:ascii="Segoe UI" w:hAnsi="Segoe UI" w:cs="Segoe UI"/>
          <w:shd w:val="clear" w:color="auto" w:fill="FFFFFF"/>
        </w:rPr>
        <w:t>要求学生以</w:t>
      </w:r>
      <w:r>
        <w:rPr>
          <w:rStyle w:val="16"/>
          <w:rFonts w:ascii="Segoe UI" w:hAnsi="Segoe UI" w:cs="Segoe UI"/>
          <w:b w:val="0"/>
          <w:shd w:val="clear" w:color="auto" w:fill="FFFFFF"/>
        </w:rPr>
        <w:t>个人或小组</w:t>
      </w:r>
      <w:r>
        <w:rPr>
          <w:rFonts w:ascii="Segoe UI" w:hAnsi="Segoe UI" w:cs="Segoe UI"/>
          <w:shd w:val="clear" w:color="auto" w:fill="FFFFFF"/>
        </w:rPr>
        <w:t>形式完成实验项目，并进行成果展示。报告需重点阐述</w:t>
      </w:r>
      <w:r>
        <w:rPr>
          <w:rStyle w:val="16"/>
          <w:rFonts w:ascii="Segoe UI" w:hAnsi="Segoe UI" w:cs="Segoe UI"/>
          <w:shd w:val="clear" w:color="auto" w:fill="FFFFFF"/>
        </w:rPr>
        <w:t>对特定领域数据进行获取、处理、可视化并</w:t>
      </w:r>
      <w:r>
        <w:rPr>
          <w:rFonts w:ascii="Segoe UI" w:hAnsi="Segoe UI" w:cs="Segoe UI"/>
          <w:shd w:val="clear" w:color="auto" w:fill="FFFFFF"/>
        </w:rPr>
        <w:t>根据数据特征</w:t>
      </w:r>
      <w:r>
        <w:rPr>
          <w:rStyle w:val="16"/>
          <w:rFonts w:ascii="Segoe UI" w:hAnsi="Segoe UI" w:cs="Segoe UI"/>
          <w:shd w:val="clear" w:color="auto" w:fill="FFFFFF"/>
        </w:rPr>
        <w:t>选择合适的人工智能模型</w:t>
      </w:r>
      <w:r>
        <w:rPr>
          <w:rFonts w:ascii="Segoe UI" w:hAnsi="Segoe UI" w:cs="Segoe UI"/>
          <w:shd w:val="clear" w:color="auto" w:fill="FFFFFF"/>
        </w:rPr>
        <w:t>，完成模型建立、训练与评估的全流程，最终形成分析结论。课程报告应充分展示学生将数据与AI融合的综合应用能力</w:t>
      </w:r>
      <w:r>
        <w:rPr>
          <w:rFonts w:cs="Times New Roman"/>
          <w:color w:val="000000"/>
          <w:szCs w:val="21"/>
        </w:rPr>
        <w:t>。</w:t>
      </w:r>
    </w:p>
    <w:bookmarkEnd w:id="1"/>
    <w:bookmarkEnd w:id="2"/>
    <w:p w14:paraId="58E8E3EB">
      <w:pPr>
        <w:widowControl/>
        <w:numPr>
          <w:ilvl w:val="0"/>
          <w:numId w:val="2"/>
        </w:numPr>
        <w:spacing w:line="360" w:lineRule="auto"/>
        <w:ind w:left="283" w:hanging="283" w:hangingChars="118"/>
        <w:rPr>
          <w:rFonts w:cs="Times New Roman"/>
          <w:color w:val="000000"/>
          <w:szCs w:val="21"/>
        </w:rPr>
      </w:pPr>
      <w:r>
        <w:rPr>
          <w:rFonts w:cs="Times New Roman"/>
          <w:color w:val="000000"/>
          <w:szCs w:val="21"/>
        </w:rPr>
        <w:t>课程结束后，需要提交</w:t>
      </w:r>
      <w:r>
        <w:rPr>
          <w:rFonts w:cs="Times New Roman"/>
          <w:b/>
          <w:color w:val="000000"/>
          <w:szCs w:val="21"/>
        </w:rPr>
        <w:t>课程报告（Word文档）、源程序、数据文件（压缩包）、演示文稿（PowerPoint文档）</w:t>
      </w:r>
      <w:r>
        <w:rPr>
          <w:rFonts w:cs="Times New Roman"/>
          <w:color w:val="000000"/>
          <w:szCs w:val="21"/>
        </w:rPr>
        <w:t>。未提交相关资料者不能参加成绩评定。</w:t>
      </w:r>
    </w:p>
    <w:p w14:paraId="3E91F5A1">
      <w:pPr>
        <w:widowControl/>
        <w:numPr>
          <w:ilvl w:val="0"/>
          <w:numId w:val="2"/>
        </w:numPr>
        <w:spacing w:line="360" w:lineRule="auto"/>
        <w:ind w:left="283" w:hanging="283" w:hangingChars="118"/>
        <w:rPr>
          <w:rFonts w:cs="Times New Roman"/>
          <w:color w:val="000000"/>
          <w:szCs w:val="21"/>
        </w:rPr>
      </w:pPr>
      <w:r>
        <w:rPr>
          <w:rFonts w:cs="Times New Roman"/>
          <w:color w:val="000000"/>
          <w:szCs w:val="21"/>
        </w:rPr>
        <w:t>课程报告的段落结构和格式要求参考本文档（可作为模板），可以做适当的调整，文字图表及代码等具体内容需自己撰写。文档结构要完整、格式排版应美观、条理要清晰、论述需准确。</w:t>
      </w:r>
    </w:p>
    <w:p w14:paraId="47A13A0A">
      <w:pPr>
        <w:widowControl/>
        <w:numPr>
          <w:ilvl w:val="0"/>
          <w:numId w:val="2"/>
        </w:numPr>
        <w:spacing w:line="360" w:lineRule="auto"/>
        <w:ind w:left="284" w:hanging="284" w:hangingChars="118"/>
        <w:rPr>
          <w:rFonts w:cs="Times New Roman"/>
          <w:color w:val="000000"/>
          <w:szCs w:val="21"/>
        </w:rPr>
      </w:pPr>
      <w:r>
        <w:rPr>
          <w:rFonts w:cs="Times New Roman"/>
          <w:b/>
          <w:color w:val="000000"/>
          <w:szCs w:val="21"/>
        </w:rPr>
        <w:t>抄袭、剽窃他人作品，记零分</w:t>
      </w:r>
      <w:r>
        <w:rPr>
          <w:rFonts w:cs="Times New Roman"/>
          <w:color w:val="000000"/>
          <w:szCs w:val="21"/>
        </w:rPr>
        <w:t>。</w:t>
      </w:r>
    </w:p>
    <w:p w14:paraId="0703B440">
      <w:pPr>
        <w:spacing w:line="360" w:lineRule="auto"/>
        <w:ind w:firstLine="480"/>
        <w:rPr>
          <w:rFonts w:cs="Times New Roman"/>
          <w:color w:val="000000"/>
          <w:szCs w:val="21"/>
        </w:rPr>
      </w:pPr>
    </w:p>
    <w:p w14:paraId="393EE0C9">
      <w:pPr>
        <w:widowControl/>
        <w:ind w:firstLine="723"/>
        <w:jc w:val="left"/>
        <w:rPr>
          <w:rFonts w:cs="Times New Roman"/>
          <w:b/>
          <w:sz w:val="36"/>
        </w:rPr>
      </w:pPr>
      <w:r>
        <w:rPr>
          <w:rFonts w:cs="Times New Roman"/>
          <w:b/>
          <w:sz w:val="36"/>
        </w:rPr>
        <w:br w:type="page"/>
      </w:r>
    </w:p>
    <w:sdt>
      <w:sdtPr>
        <w:rPr>
          <w:rFonts w:ascii="Times New Roman" w:hAnsi="Times New Roman" w:eastAsiaTheme="minorEastAsia" w:cstheme="minorBidi"/>
          <w:color w:val="auto"/>
          <w:kern w:val="2"/>
          <w:sz w:val="24"/>
          <w:szCs w:val="22"/>
          <w:lang w:val="zh-CN"/>
        </w:rPr>
        <w:id w:val="1680240310"/>
        <w:docPartObj>
          <w:docPartGallery w:val="Table of Contents"/>
          <w:docPartUnique/>
        </w:docPartObj>
      </w:sdtPr>
      <w:sdtEndPr>
        <w:rPr>
          <w:rFonts w:ascii="Times New Roman" w:hAnsi="Times New Roman" w:eastAsiaTheme="minorEastAsia" w:cstheme="minorBidi"/>
          <w:b/>
          <w:bCs/>
          <w:color w:val="auto"/>
          <w:kern w:val="2"/>
          <w:sz w:val="24"/>
          <w:szCs w:val="22"/>
          <w:lang w:val="zh-CN"/>
        </w:rPr>
      </w:sdtEndPr>
      <w:sdtContent>
        <w:p w14:paraId="7044A21D">
          <w:pPr>
            <w:pStyle w:val="22"/>
            <w:jc w:val="center"/>
            <w:rPr>
              <w:b/>
              <w:color w:val="auto"/>
            </w:rPr>
          </w:pPr>
          <w:r>
            <w:rPr>
              <w:b/>
              <w:color w:val="auto"/>
              <w:lang w:val="zh-CN"/>
            </w:rPr>
            <w:t>目录</w:t>
          </w:r>
        </w:p>
        <w:p w14:paraId="6610CCC0">
          <w:pPr>
            <w:pStyle w:val="10"/>
            <w:tabs>
              <w:tab w:val="right" w:leader="dot" w:pos="8305"/>
            </w:tabs>
          </w:pPr>
          <w:r>
            <w:fldChar w:fldCharType="begin"/>
          </w:r>
          <w:r>
            <w:instrText xml:space="preserve"> TOC \o "1-3" \h \z \u </w:instrText>
          </w:r>
          <w:r>
            <w:fldChar w:fldCharType="separate"/>
          </w:r>
          <w:r>
            <w:fldChar w:fldCharType="begin"/>
          </w:r>
          <w:r>
            <w:instrText xml:space="preserve"> HYPERLINK \l _Toc31257 </w:instrText>
          </w:r>
          <w:r>
            <w:fldChar w:fldCharType="separate"/>
          </w:r>
          <w:r>
            <w:t>摘要</w:t>
          </w:r>
          <w:r>
            <w:tab/>
          </w:r>
          <w:r>
            <w:fldChar w:fldCharType="begin"/>
          </w:r>
          <w:r>
            <w:instrText xml:space="preserve"> PAGEREF _Toc31257 \h </w:instrText>
          </w:r>
          <w:r>
            <w:fldChar w:fldCharType="separate"/>
          </w:r>
          <w:r>
            <w:t>1</w:t>
          </w:r>
          <w:r>
            <w:fldChar w:fldCharType="end"/>
          </w:r>
          <w:r>
            <w:fldChar w:fldCharType="end"/>
          </w:r>
        </w:p>
        <w:p w14:paraId="4A44496A">
          <w:pPr>
            <w:pStyle w:val="10"/>
            <w:tabs>
              <w:tab w:val="right" w:leader="dot" w:pos="8305"/>
            </w:tabs>
          </w:pPr>
          <w:r>
            <w:rPr>
              <w:bCs/>
              <w:lang w:val="zh-CN"/>
            </w:rPr>
            <w:fldChar w:fldCharType="begin"/>
          </w:r>
          <w:r>
            <w:rPr>
              <w:bCs/>
              <w:lang w:val="zh-CN"/>
            </w:rPr>
            <w:instrText xml:space="preserve"> HYPERLINK \l _Toc1311 </w:instrText>
          </w:r>
          <w:r>
            <w:rPr>
              <w:bCs/>
              <w:lang w:val="zh-CN"/>
            </w:rPr>
            <w:fldChar w:fldCharType="separate"/>
          </w:r>
          <w:r>
            <w:rPr>
              <w:rFonts w:hint="eastAsia"/>
            </w:rPr>
            <w:t>1</w:t>
          </w:r>
          <w:r>
            <w:t>. 引言</w:t>
          </w:r>
          <w:r>
            <w:tab/>
          </w:r>
          <w:r>
            <w:fldChar w:fldCharType="begin"/>
          </w:r>
          <w:r>
            <w:instrText xml:space="preserve"> PAGEREF _Toc1311 \h </w:instrText>
          </w:r>
          <w:r>
            <w:fldChar w:fldCharType="separate"/>
          </w:r>
          <w:r>
            <w:t>1</w:t>
          </w:r>
          <w:r>
            <w:fldChar w:fldCharType="end"/>
          </w:r>
          <w:r>
            <w:rPr>
              <w:bCs/>
              <w:lang w:val="zh-CN"/>
            </w:rPr>
            <w:fldChar w:fldCharType="end"/>
          </w:r>
        </w:p>
        <w:p w14:paraId="6CDD50A6">
          <w:pPr>
            <w:pStyle w:val="11"/>
            <w:tabs>
              <w:tab w:val="right" w:leader="dot" w:pos="8305"/>
            </w:tabs>
          </w:pPr>
          <w:r>
            <w:rPr>
              <w:bCs/>
              <w:lang w:val="zh-CN"/>
            </w:rPr>
            <w:fldChar w:fldCharType="begin"/>
          </w:r>
          <w:r>
            <w:rPr>
              <w:bCs/>
              <w:lang w:val="zh-CN"/>
            </w:rPr>
            <w:instrText xml:space="preserve"> HYPERLINK \l _Toc21819 </w:instrText>
          </w:r>
          <w:r>
            <w:rPr>
              <w:bCs/>
              <w:lang w:val="zh-CN"/>
            </w:rPr>
            <w:fldChar w:fldCharType="separate"/>
          </w:r>
          <w:r>
            <w:t>1.1 研究背景与意义</w:t>
          </w:r>
          <w:r>
            <w:tab/>
          </w:r>
          <w:r>
            <w:fldChar w:fldCharType="begin"/>
          </w:r>
          <w:r>
            <w:instrText xml:space="preserve"> PAGEREF _Toc21819 \h </w:instrText>
          </w:r>
          <w:r>
            <w:fldChar w:fldCharType="separate"/>
          </w:r>
          <w:r>
            <w:t>1</w:t>
          </w:r>
          <w:r>
            <w:fldChar w:fldCharType="end"/>
          </w:r>
          <w:r>
            <w:rPr>
              <w:bCs/>
              <w:lang w:val="zh-CN"/>
            </w:rPr>
            <w:fldChar w:fldCharType="end"/>
          </w:r>
        </w:p>
        <w:p w14:paraId="58BFC17D">
          <w:pPr>
            <w:pStyle w:val="11"/>
            <w:tabs>
              <w:tab w:val="right" w:leader="dot" w:pos="8305"/>
            </w:tabs>
          </w:pPr>
          <w:r>
            <w:rPr>
              <w:bCs/>
              <w:lang w:val="zh-CN"/>
            </w:rPr>
            <w:fldChar w:fldCharType="begin"/>
          </w:r>
          <w:r>
            <w:rPr>
              <w:bCs/>
              <w:lang w:val="zh-CN"/>
            </w:rPr>
            <w:instrText xml:space="preserve"> HYPERLINK \l _Toc15438 </w:instrText>
          </w:r>
          <w:r>
            <w:rPr>
              <w:bCs/>
              <w:lang w:val="zh-CN"/>
            </w:rPr>
            <w:fldChar w:fldCharType="separate"/>
          </w:r>
          <w:r>
            <w:t>1.2 研究内容与目标</w:t>
          </w:r>
          <w:r>
            <w:tab/>
          </w:r>
          <w:r>
            <w:fldChar w:fldCharType="begin"/>
          </w:r>
          <w:r>
            <w:instrText xml:space="preserve"> PAGEREF _Toc15438 \h </w:instrText>
          </w:r>
          <w:r>
            <w:fldChar w:fldCharType="separate"/>
          </w:r>
          <w:r>
            <w:t>1</w:t>
          </w:r>
          <w:r>
            <w:fldChar w:fldCharType="end"/>
          </w:r>
          <w:r>
            <w:rPr>
              <w:bCs/>
              <w:lang w:val="zh-CN"/>
            </w:rPr>
            <w:fldChar w:fldCharType="end"/>
          </w:r>
        </w:p>
        <w:p w14:paraId="787F0A08">
          <w:pPr>
            <w:pStyle w:val="11"/>
            <w:tabs>
              <w:tab w:val="right" w:leader="dot" w:pos="8305"/>
            </w:tabs>
          </w:pPr>
          <w:r>
            <w:rPr>
              <w:bCs/>
              <w:lang w:val="zh-CN"/>
            </w:rPr>
            <w:fldChar w:fldCharType="begin"/>
          </w:r>
          <w:r>
            <w:rPr>
              <w:bCs/>
              <w:lang w:val="zh-CN"/>
            </w:rPr>
            <w:instrText xml:space="preserve"> HYPERLINK \l _Toc16403 </w:instrText>
          </w:r>
          <w:r>
            <w:rPr>
              <w:bCs/>
              <w:lang w:val="zh-CN"/>
            </w:rPr>
            <w:fldChar w:fldCharType="separate"/>
          </w:r>
          <w:r>
            <w:rPr>
              <w:highlight w:val="none"/>
            </w:rPr>
            <w:t>1.3 小组分工</w:t>
          </w:r>
          <w:r>
            <w:tab/>
          </w:r>
          <w:r>
            <w:fldChar w:fldCharType="begin"/>
          </w:r>
          <w:r>
            <w:instrText xml:space="preserve"> PAGEREF _Toc16403 \h </w:instrText>
          </w:r>
          <w:r>
            <w:fldChar w:fldCharType="separate"/>
          </w:r>
          <w:r>
            <w:t>2</w:t>
          </w:r>
          <w:r>
            <w:fldChar w:fldCharType="end"/>
          </w:r>
          <w:r>
            <w:rPr>
              <w:bCs/>
              <w:lang w:val="zh-CN"/>
            </w:rPr>
            <w:fldChar w:fldCharType="end"/>
          </w:r>
        </w:p>
        <w:p w14:paraId="7BF95FC9">
          <w:pPr>
            <w:pStyle w:val="10"/>
            <w:tabs>
              <w:tab w:val="right" w:leader="dot" w:pos="8305"/>
            </w:tabs>
          </w:pPr>
          <w:r>
            <w:rPr>
              <w:bCs/>
              <w:lang w:val="zh-CN"/>
            </w:rPr>
            <w:fldChar w:fldCharType="begin"/>
          </w:r>
          <w:r>
            <w:rPr>
              <w:bCs/>
              <w:lang w:val="zh-CN"/>
            </w:rPr>
            <w:instrText xml:space="preserve"> HYPERLINK \l _Toc3131 </w:instrText>
          </w:r>
          <w:r>
            <w:rPr>
              <w:bCs/>
              <w:lang w:val="zh-CN"/>
            </w:rPr>
            <w:fldChar w:fldCharType="separate"/>
          </w:r>
          <w:r>
            <w:rPr>
              <w:rFonts w:hint="eastAsia"/>
            </w:rPr>
            <w:t>2</w:t>
          </w:r>
          <w:r>
            <w:t>. 数据获取与预处理</w:t>
          </w:r>
          <w:r>
            <w:tab/>
          </w:r>
          <w:r>
            <w:fldChar w:fldCharType="begin"/>
          </w:r>
          <w:r>
            <w:instrText xml:space="preserve"> PAGEREF _Toc3131 \h </w:instrText>
          </w:r>
          <w:r>
            <w:fldChar w:fldCharType="separate"/>
          </w:r>
          <w:r>
            <w:t>2</w:t>
          </w:r>
          <w:r>
            <w:fldChar w:fldCharType="end"/>
          </w:r>
          <w:r>
            <w:rPr>
              <w:bCs/>
              <w:lang w:val="zh-CN"/>
            </w:rPr>
            <w:fldChar w:fldCharType="end"/>
          </w:r>
        </w:p>
        <w:p w14:paraId="603F6769">
          <w:pPr>
            <w:pStyle w:val="11"/>
            <w:tabs>
              <w:tab w:val="right" w:leader="dot" w:pos="8305"/>
            </w:tabs>
          </w:pPr>
          <w:r>
            <w:rPr>
              <w:bCs/>
              <w:lang w:val="zh-CN"/>
            </w:rPr>
            <w:fldChar w:fldCharType="begin"/>
          </w:r>
          <w:r>
            <w:rPr>
              <w:bCs/>
              <w:lang w:val="zh-CN"/>
            </w:rPr>
            <w:instrText xml:space="preserve"> HYPERLINK \l _Toc23055 </w:instrText>
          </w:r>
          <w:r>
            <w:rPr>
              <w:bCs/>
              <w:lang w:val="zh-CN"/>
            </w:rPr>
            <w:fldChar w:fldCharType="separate"/>
          </w:r>
          <w:r>
            <w:t>2.1 数据来源</w:t>
          </w:r>
          <w:r>
            <w:tab/>
          </w:r>
          <w:r>
            <w:fldChar w:fldCharType="begin"/>
          </w:r>
          <w:r>
            <w:instrText xml:space="preserve"> PAGEREF _Toc23055 \h </w:instrText>
          </w:r>
          <w:r>
            <w:fldChar w:fldCharType="separate"/>
          </w:r>
          <w:r>
            <w:t>2</w:t>
          </w:r>
          <w:r>
            <w:fldChar w:fldCharType="end"/>
          </w:r>
          <w:r>
            <w:rPr>
              <w:bCs/>
              <w:lang w:val="zh-CN"/>
            </w:rPr>
            <w:fldChar w:fldCharType="end"/>
          </w:r>
        </w:p>
        <w:p w14:paraId="0668470E">
          <w:pPr>
            <w:pStyle w:val="11"/>
            <w:tabs>
              <w:tab w:val="right" w:leader="dot" w:pos="8305"/>
            </w:tabs>
          </w:pPr>
          <w:r>
            <w:rPr>
              <w:bCs/>
              <w:lang w:val="zh-CN"/>
            </w:rPr>
            <w:fldChar w:fldCharType="begin"/>
          </w:r>
          <w:r>
            <w:rPr>
              <w:bCs/>
              <w:lang w:val="zh-CN"/>
            </w:rPr>
            <w:instrText xml:space="preserve"> HYPERLINK \l _Toc28573 </w:instrText>
          </w:r>
          <w:r>
            <w:rPr>
              <w:bCs/>
              <w:lang w:val="zh-CN"/>
            </w:rPr>
            <w:fldChar w:fldCharType="separate"/>
          </w:r>
          <w:r>
            <w:t xml:space="preserve">2.2 </w:t>
          </w:r>
          <w:r>
            <w:rPr>
              <w:rFonts w:hint="eastAsia"/>
              <w:lang w:val="en-US" w:eastAsia="zh-CN"/>
            </w:rPr>
            <w:t>表格数据获取</w:t>
          </w:r>
          <w:r>
            <w:tab/>
          </w:r>
          <w:r>
            <w:fldChar w:fldCharType="begin"/>
          </w:r>
          <w:r>
            <w:instrText xml:space="preserve"> PAGEREF _Toc28573 \h </w:instrText>
          </w:r>
          <w:r>
            <w:fldChar w:fldCharType="separate"/>
          </w:r>
          <w:r>
            <w:t>2</w:t>
          </w:r>
          <w:r>
            <w:fldChar w:fldCharType="end"/>
          </w:r>
          <w:r>
            <w:rPr>
              <w:bCs/>
              <w:lang w:val="zh-CN"/>
            </w:rPr>
            <w:fldChar w:fldCharType="end"/>
          </w:r>
        </w:p>
        <w:p w14:paraId="6996826F">
          <w:pPr>
            <w:pStyle w:val="11"/>
            <w:tabs>
              <w:tab w:val="right" w:leader="dot" w:pos="8305"/>
            </w:tabs>
          </w:pPr>
          <w:r>
            <w:rPr>
              <w:bCs/>
              <w:lang w:val="zh-CN"/>
            </w:rPr>
            <w:fldChar w:fldCharType="begin"/>
          </w:r>
          <w:r>
            <w:rPr>
              <w:bCs/>
              <w:lang w:val="zh-CN"/>
            </w:rPr>
            <w:instrText xml:space="preserve"> HYPERLINK \l _Toc12292 </w:instrText>
          </w:r>
          <w:r>
            <w:rPr>
              <w:bCs/>
              <w:lang w:val="zh-CN"/>
            </w:rPr>
            <w:fldChar w:fldCharType="separate"/>
          </w:r>
          <w:r>
            <w:t xml:space="preserve">2.3 </w:t>
          </w:r>
          <w:r>
            <w:rPr>
              <w:rFonts w:hint="eastAsia"/>
              <w:lang w:val="en-US" w:eastAsia="zh-CN"/>
            </w:rPr>
            <w:t>文本数据获取</w:t>
          </w:r>
          <w:r>
            <w:tab/>
          </w:r>
          <w:r>
            <w:fldChar w:fldCharType="begin"/>
          </w:r>
          <w:r>
            <w:instrText xml:space="preserve"> PAGEREF _Toc12292 \h </w:instrText>
          </w:r>
          <w:r>
            <w:fldChar w:fldCharType="separate"/>
          </w:r>
          <w:r>
            <w:t>3</w:t>
          </w:r>
          <w:r>
            <w:fldChar w:fldCharType="end"/>
          </w:r>
          <w:r>
            <w:rPr>
              <w:bCs/>
              <w:lang w:val="zh-CN"/>
            </w:rPr>
            <w:fldChar w:fldCharType="end"/>
          </w:r>
        </w:p>
        <w:p w14:paraId="1F98ABFE">
          <w:pPr>
            <w:pStyle w:val="10"/>
            <w:tabs>
              <w:tab w:val="right" w:leader="dot" w:pos="8305"/>
            </w:tabs>
          </w:pPr>
          <w:r>
            <w:rPr>
              <w:bCs/>
              <w:lang w:val="zh-CN"/>
            </w:rPr>
            <w:fldChar w:fldCharType="begin"/>
          </w:r>
          <w:r>
            <w:rPr>
              <w:bCs/>
              <w:lang w:val="zh-CN"/>
            </w:rPr>
            <w:instrText xml:space="preserve"> HYPERLINK \l _Toc12551 </w:instrText>
          </w:r>
          <w:r>
            <w:rPr>
              <w:bCs/>
              <w:lang w:val="zh-CN"/>
            </w:rPr>
            <w:fldChar w:fldCharType="separate"/>
          </w:r>
          <w:r>
            <w:rPr>
              <w:rFonts w:hint="eastAsia"/>
            </w:rPr>
            <w:t>3</w:t>
          </w:r>
          <w:r>
            <w:t>. 数据可视化分析</w:t>
          </w:r>
          <w:r>
            <w:tab/>
          </w:r>
          <w:r>
            <w:fldChar w:fldCharType="begin"/>
          </w:r>
          <w:r>
            <w:instrText xml:space="preserve"> PAGEREF _Toc12551 \h </w:instrText>
          </w:r>
          <w:r>
            <w:fldChar w:fldCharType="separate"/>
          </w:r>
          <w:r>
            <w:t>3</w:t>
          </w:r>
          <w:r>
            <w:fldChar w:fldCharType="end"/>
          </w:r>
          <w:r>
            <w:rPr>
              <w:bCs/>
              <w:lang w:val="zh-CN"/>
            </w:rPr>
            <w:fldChar w:fldCharType="end"/>
          </w:r>
        </w:p>
        <w:p w14:paraId="18A7CF04">
          <w:pPr>
            <w:pStyle w:val="11"/>
            <w:tabs>
              <w:tab w:val="right" w:leader="dot" w:pos="8305"/>
            </w:tabs>
          </w:pPr>
          <w:r>
            <w:rPr>
              <w:bCs/>
              <w:lang w:val="zh-CN"/>
            </w:rPr>
            <w:fldChar w:fldCharType="begin"/>
          </w:r>
          <w:r>
            <w:rPr>
              <w:bCs/>
              <w:lang w:val="zh-CN"/>
            </w:rPr>
            <w:instrText xml:space="preserve"> HYPERLINK \l _Toc22277 </w:instrText>
          </w:r>
          <w:r>
            <w:rPr>
              <w:bCs/>
              <w:lang w:val="zh-CN"/>
            </w:rPr>
            <w:fldChar w:fldCharType="separate"/>
          </w:r>
          <w:r>
            <w:t xml:space="preserve">3.1 </w:t>
          </w:r>
          <w:r>
            <w:rPr>
              <w:rFonts w:hint="eastAsia"/>
              <w:lang w:val="en-US" w:eastAsia="zh-CN"/>
            </w:rPr>
            <w:t>行业与地区分布分析</w:t>
          </w:r>
          <w:r>
            <w:tab/>
          </w:r>
          <w:r>
            <w:fldChar w:fldCharType="begin"/>
          </w:r>
          <w:r>
            <w:instrText xml:space="preserve"> PAGEREF _Toc22277 \h </w:instrText>
          </w:r>
          <w:r>
            <w:fldChar w:fldCharType="separate"/>
          </w:r>
          <w:r>
            <w:t>3</w:t>
          </w:r>
          <w:r>
            <w:fldChar w:fldCharType="end"/>
          </w:r>
          <w:r>
            <w:rPr>
              <w:bCs/>
              <w:lang w:val="zh-CN"/>
            </w:rPr>
            <w:fldChar w:fldCharType="end"/>
          </w:r>
        </w:p>
        <w:p w14:paraId="2C3D7B0A">
          <w:pPr>
            <w:pStyle w:val="11"/>
            <w:tabs>
              <w:tab w:val="right" w:leader="dot" w:pos="8305"/>
            </w:tabs>
          </w:pPr>
          <w:r>
            <w:rPr>
              <w:bCs/>
              <w:lang w:val="zh-CN"/>
            </w:rPr>
            <w:fldChar w:fldCharType="begin"/>
          </w:r>
          <w:r>
            <w:rPr>
              <w:bCs/>
              <w:lang w:val="zh-CN"/>
            </w:rPr>
            <w:instrText xml:space="preserve"> HYPERLINK \l _Toc23270 </w:instrText>
          </w:r>
          <w:r>
            <w:rPr>
              <w:bCs/>
              <w:lang w:val="zh-CN"/>
            </w:rPr>
            <w:fldChar w:fldCharType="separate"/>
          </w:r>
          <w:r>
            <w:t xml:space="preserve">3.2 </w:t>
          </w:r>
          <w:r>
            <w:rPr>
              <w:rFonts w:hint="eastAsia"/>
              <w:lang w:val="en-US" w:eastAsia="zh-CN"/>
            </w:rPr>
            <w:t>股价走势分析</w:t>
          </w:r>
          <w:r>
            <w:tab/>
          </w:r>
          <w:r>
            <w:fldChar w:fldCharType="begin"/>
          </w:r>
          <w:r>
            <w:instrText xml:space="preserve"> PAGEREF _Toc23270 \h </w:instrText>
          </w:r>
          <w:r>
            <w:fldChar w:fldCharType="separate"/>
          </w:r>
          <w:r>
            <w:t>4</w:t>
          </w:r>
          <w:r>
            <w:fldChar w:fldCharType="end"/>
          </w:r>
          <w:r>
            <w:rPr>
              <w:bCs/>
              <w:lang w:val="zh-CN"/>
            </w:rPr>
            <w:fldChar w:fldCharType="end"/>
          </w:r>
        </w:p>
        <w:p w14:paraId="40DAD11E">
          <w:pPr>
            <w:pStyle w:val="11"/>
            <w:tabs>
              <w:tab w:val="right" w:leader="dot" w:pos="8305"/>
            </w:tabs>
          </w:pPr>
          <w:r>
            <w:rPr>
              <w:bCs/>
              <w:lang w:val="zh-CN"/>
            </w:rPr>
            <w:fldChar w:fldCharType="begin"/>
          </w:r>
          <w:r>
            <w:rPr>
              <w:bCs/>
              <w:lang w:val="zh-CN"/>
            </w:rPr>
            <w:instrText xml:space="preserve"> HYPERLINK \l _Toc23272 </w:instrText>
          </w:r>
          <w:r>
            <w:rPr>
              <w:bCs/>
              <w:lang w:val="zh-CN"/>
            </w:rPr>
            <w:fldChar w:fldCharType="separate"/>
          </w:r>
          <w:r>
            <w:t xml:space="preserve">3.3 </w:t>
          </w:r>
          <w:r>
            <w:rPr>
              <w:rFonts w:hint="eastAsia"/>
              <w:lang w:val="en-US" w:eastAsia="zh-CN"/>
            </w:rPr>
            <w:t>板块与行业结构分析</w:t>
          </w:r>
          <w:r>
            <w:tab/>
          </w:r>
          <w:r>
            <w:fldChar w:fldCharType="begin"/>
          </w:r>
          <w:r>
            <w:instrText xml:space="preserve"> PAGEREF _Toc23272 \h </w:instrText>
          </w:r>
          <w:r>
            <w:fldChar w:fldCharType="separate"/>
          </w:r>
          <w:r>
            <w:t>5</w:t>
          </w:r>
          <w:r>
            <w:fldChar w:fldCharType="end"/>
          </w:r>
          <w:r>
            <w:rPr>
              <w:bCs/>
              <w:lang w:val="zh-CN"/>
            </w:rPr>
            <w:fldChar w:fldCharType="end"/>
          </w:r>
        </w:p>
        <w:p w14:paraId="49D9663F">
          <w:pPr>
            <w:pStyle w:val="11"/>
            <w:tabs>
              <w:tab w:val="right" w:leader="dot" w:pos="8305"/>
            </w:tabs>
          </w:pPr>
          <w:r>
            <w:rPr>
              <w:bCs/>
              <w:lang w:val="zh-CN"/>
            </w:rPr>
            <w:fldChar w:fldCharType="begin"/>
          </w:r>
          <w:r>
            <w:rPr>
              <w:bCs/>
              <w:lang w:val="zh-CN"/>
            </w:rPr>
            <w:instrText xml:space="preserve"> HYPERLINK \l _Toc12392 </w:instrText>
          </w:r>
          <w:r>
            <w:rPr>
              <w:bCs/>
              <w:lang w:val="zh-CN"/>
            </w:rPr>
            <w:fldChar w:fldCharType="separate"/>
          </w:r>
          <w:r>
            <w:t xml:space="preserve">3.4 </w:t>
          </w:r>
          <w:r>
            <w:rPr>
              <w:rFonts w:hint="eastAsia"/>
              <w:lang w:val="en-US" w:eastAsia="zh-CN"/>
            </w:rPr>
            <w:t>时间序列与技术分析</w:t>
          </w:r>
          <w:r>
            <w:tab/>
          </w:r>
          <w:r>
            <w:fldChar w:fldCharType="begin"/>
          </w:r>
          <w:r>
            <w:instrText xml:space="preserve"> PAGEREF _Toc12392 \h </w:instrText>
          </w:r>
          <w:r>
            <w:fldChar w:fldCharType="separate"/>
          </w:r>
          <w:r>
            <w:t>7</w:t>
          </w:r>
          <w:r>
            <w:fldChar w:fldCharType="end"/>
          </w:r>
          <w:r>
            <w:rPr>
              <w:bCs/>
              <w:lang w:val="zh-CN"/>
            </w:rPr>
            <w:fldChar w:fldCharType="end"/>
          </w:r>
        </w:p>
        <w:p w14:paraId="4508A5F5">
          <w:pPr>
            <w:pStyle w:val="11"/>
            <w:tabs>
              <w:tab w:val="right" w:leader="dot" w:pos="8305"/>
            </w:tabs>
          </w:pPr>
          <w:r>
            <w:rPr>
              <w:bCs/>
              <w:lang w:val="zh-CN"/>
            </w:rPr>
            <w:fldChar w:fldCharType="begin"/>
          </w:r>
          <w:r>
            <w:rPr>
              <w:bCs/>
              <w:lang w:val="zh-CN"/>
            </w:rPr>
            <w:instrText xml:space="preserve"> HYPERLINK \l _Toc1542 </w:instrText>
          </w:r>
          <w:r>
            <w:rPr>
              <w:bCs/>
              <w:lang w:val="zh-CN"/>
            </w:rPr>
            <w:fldChar w:fldCharType="separate"/>
          </w:r>
          <w:r>
            <w:t xml:space="preserve">3.5 </w:t>
          </w:r>
          <w:r>
            <w:rPr>
              <w:rFonts w:hint="eastAsia"/>
              <w:lang w:val="en-US" w:eastAsia="zh-CN"/>
            </w:rPr>
            <w:t>地理空间分布</w:t>
          </w:r>
          <w:r>
            <w:tab/>
          </w:r>
          <w:r>
            <w:fldChar w:fldCharType="begin"/>
          </w:r>
          <w:r>
            <w:instrText xml:space="preserve"> PAGEREF _Toc1542 \h </w:instrText>
          </w:r>
          <w:r>
            <w:fldChar w:fldCharType="separate"/>
          </w:r>
          <w:r>
            <w:t>8</w:t>
          </w:r>
          <w:r>
            <w:fldChar w:fldCharType="end"/>
          </w:r>
          <w:r>
            <w:rPr>
              <w:bCs/>
              <w:lang w:val="zh-CN"/>
            </w:rPr>
            <w:fldChar w:fldCharType="end"/>
          </w:r>
        </w:p>
        <w:p w14:paraId="5CB8354F">
          <w:pPr>
            <w:pStyle w:val="11"/>
            <w:tabs>
              <w:tab w:val="right" w:leader="dot" w:pos="8305"/>
            </w:tabs>
          </w:pPr>
          <w:r>
            <w:rPr>
              <w:bCs/>
              <w:lang w:val="zh-CN"/>
            </w:rPr>
            <w:fldChar w:fldCharType="begin"/>
          </w:r>
          <w:r>
            <w:rPr>
              <w:bCs/>
              <w:lang w:val="zh-CN"/>
            </w:rPr>
            <w:instrText xml:space="preserve"> HYPERLINK \l _Toc16065 </w:instrText>
          </w:r>
          <w:r>
            <w:rPr>
              <w:bCs/>
              <w:lang w:val="zh-CN"/>
            </w:rPr>
            <w:fldChar w:fldCharType="separate"/>
          </w:r>
          <w:r>
            <w:t xml:space="preserve">3.6 </w:t>
          </w:r>
          <w:r>
            <w:rPr>
              <w:rFonts w:hint="eastAsia"/>
              <w:lang w:val="en-US" w:eastAsia="zh-CN"/>
            </w:rPr>
            <w:t>动态可视化与词云分析</w:t>
          </w:r>
          <w:r>
            <w:tab/>
          </w:r>
          <w:r>
            <w:fldChar w:fldCharType="begin"/>
          </w:r>
          <w:r>
            <w:instrText xml:space="preserve"> PAGEREF _Toc16065 \h </w:instrText>
          </w:r>
          <w:r>
            <w:fldChar w:fldCharType="separate"/>
          </w:r>
          <w:r>
            <w:t>8</w:t>
          </w:r>
          <w:r>
            <w:fldChar w:fldCharType="end"/>
          </w:r>
          <w:r>
            <w:rPr>
              <w:bCs/>
              <w:lang w:val="zh-CN"/>
            </w:rPr>
            <w:fldChar w:fldCharType="end"/>
          </w:r>
        </w:p>
        <w:p w14:paraId="47EF699D">
          <w:pPr>
            <w:pStyle w:val="10"/>
            <w:tabs>
              <w:tab w:val="right" w:leader="dot" w:pos="8305"/>
            </w:tabs>
          </w:pPr>
          <w:r>
            <w:rPr>
              <w:bCs/>
              <w:lang w:val="zh-CN"/>
            </w:rPr>
            <w:fldChar w:fldCharType="begin"/>
          </w:r>
          <w:r>
            <w:rPr>
              <w:bCs/>
              <w:lang w:val="zh-CN"/>
            </w:rPr>
            <w:instrText xml:space="preserve"> HYPERLINK \l _Toc29695 </w:instrText>
          </w:r>
          <w:r>
            <w:rPr>
              <w:bCs/>
              <w:lang w:val="zh-CN"/>
            </w:rPr>
            <w:fldChar w:fldCharType="separate"/>
          </w:r>
          <w:r>
            <w:t xml:space="preserve">4. </w:t>
          </w:r>
          <w:r>
            <w:rPr>
              <w:rFonts w:hint="eastAsia"/>
              <w:lang w:val="en-US" w:eastAsia="zh-CN"/>
            </w:rPr>
            <w:t>模型预测</w:t>
          </w:r>
          <w:r>
            <w:tab/>
          </w:r>
          <w:r>
            <w:fldChar w:fldCharType="begin"/>
          </w:r>
          <w:r>
            <w:instrText xml:space="preserve"> PAGEREF _Toc29695 \h </w:instrText>
          </w:r>
          <w:r>
            <w:fldChar w:fldCharType="separate"/>
          </w:r>
          <w:r>
            <w:t>10</w:t>
          </w:r>
          <w:r>
            <w:fldChar w:fldCharType="end"/>
          </w:r>
          <w:r>
            <w:rPr>
              <w:bCs/>
              <w:lang w:val="zh-CN"/>
            </w:rPr>
            <w:fldChar w:fldCharType="end"/>
          </w:r>
        </w:p>
        <w:p w14:paraId="03BB7C50">
          <w:pPr>
            <w:pStyle w:val="11"/>
            <w:tabs>
              <w:tab w:val="right" w:leader="dot" w:pos="8305"/>
            </w:tabs>
          </w:pPr>
          <w:r>
            <w:rPr>
              <w:bCs/>
              <w:lang w:val="zh-CN"/>
            </w:rPr>
            <w:fldChar w:fldCharType="begin"/>
          </w:r>
          <w:r>
            <w:rPr>
              <w:bCs/>
              <w:lang w:val="zh-CN"/>
            </w:rPr>
            <w:instrText xml:space="preserve"> HYPERLINK \l _Toc20838 </w:instrText>
          </w:r>
          <w:r>
            <w:rPr>
              <w:bCs/>
              <w:lang w:val="zh-CN"/>
            </w:rPr>
            <w:fldChar w:fldCharType="separate"/>
          </w:r>
          <w:r>
            <w:t xml:space="preserve">4.1 </w:t>
          </w:r>
          <w:r>
            <w:rPr>
              <w:rFonts w:hint="eastAsia"/>
              <w:lang w:val="en-US" w:eastAsia="zh-CN"/>
            </w:rPr>
            <w:t>模型选择与原理</w:t>
          </w:r>
          <w:r>
            <w:tab/>
          </w:r>
          <w:r>
            <w:fldChar w:fldCharType="begin"/>
          </w:r>
          <w:r>
            <w:instrText xml:space="preserve"> PAGEREF _Toc20838 \h </w:instrText>
          </w:r>
          <w:r>
            <w:fldChar w:fldCharType="separate"/>
          </w:r>
          <w:r>
            <w:t>10</w:t>
          </w:r>
          <w:r>
            <w:fldChar w:fldCharType="end"/>
          </w:r>
          <w:r>
            <w:rPr>
              <w:bCs/>
              <w:lang w:val="zh-CN"/>
            </w:rPr>
            <w:fldChar w:fldCharType="end"/>
          </w:r>
        </w:p>
        <w:p w14:paraId="7DF7CCBC">
          <w:pPr>
            <w:pStyle w:val="11"/>
            <w:tabs>
              <w:tab w:val="right" w:leader="dot" w:pos="8305"/>
            </w:tabs>
          </w:pPr>
          <w:r>
            <w:rPr>
              <w:bCs/>
              <w:lang w:val="zh-CN"/>
            </w:rPr>
            <w:fldChar w:fldCharType="begin"/>
          </w:r>
          <w:r>
            <w:rPr>
              <w:bCs/>
              <w:lang w:val="zh-CN"/>
            </w:rPr>
            <w:instrText xml:space="preserve"> HYPERLINK \l _Toc12162 </w:instrText>
          </w:r>
          <w:r>
            <w:rPr>
              <w:bCs/>
              <w:lang w:val="zh-CN"/>
            </w:rPr>
            <w:fldChar w:fldCharType="separate"/>
          </w:r>
          <w:r>
            <w:t xml:space="preserve">4.2 </w:t>
          </w:r>
          <w:r>
            <w:rPr>
              <w:rFonts w:hint="eastAsia"/>
              <w:lang w:val="en-US" w:eastAsia="zh-CN"/>
            </w:rPr>
            <w:t>平稳性检验</w:t>
          </w:r>
          <w:r>
            <w:tab/>
          </w:r>
          <w:r>
            <w:fldChar w:fldCharType="begin"/>
          </w:r>
          <w:r>
            <w:instrText xml:space="preserve"> PAGEREF _Toc12162 \h </w:instrText>
          </w:r>
          <w:r>
            <w:fldChar w:fldCharType="separate"/>
          </w:r>
          <w:r>
            <w:t>10</w:t>
          </w:r>
          <w:r>
            <w:fldChar w:fldCharType="end"/>
          </w:r>
          <w:r>
            <w:rPr>
              <w:bCs/>
              <w:lang w:val="zh-CN"/>
            </w:rPr>
            <w:fldChar w:fldCharType="end"/>
          </w:r>
        </w:p>
        <w:p w14:paraId="06939208">
          <w:pPr>
            <w:pStyle w:val="11"/>
            <w:tabs>
              <w:tab w:val="right" w:leader="dot" w:pos="8305"/>
            </w:tabs>
          </w:pPr>
          <w:r>
            <w:rPr>
              <w:bCs/>
              <w:lang w:val="zh-CN"/>
            </w:rPr>
            <w:fldChar w:fldCharType="begin"/>
          </w:r>
          <w:r>
            <w:rPr>
              <w:bCs/>
              <w:lang w:val="zh-CN"/>
            </w:rPr>
            <w:instrText xml:space="preserve"> HYPERLINK \l _Toc10539 </w:instrText>
          </w:r>
          <w:r>
            <w:rPr>
              <w:bCs/>
              <w:lang w:val="zh-CN"/>
            </w:rPr>
            <w:fldChar w:fldCharType="separate"/>
          </w:r>
          <w:r>
            <w:t xml:space="preserve">4.3 </w:t>
          </w:r>
          <w:r>
            <w:rPr>
              <w:rFonts w:hint="eastAsia"/>
              <w:lang w:val="en-US" w:eastAsia="zh-CN"/>
            </w:rPr>
            <w:t>模型训练与评估</w:t>
          </w:r>
          <w:r>
            <w:tab/>
          </w:r>
          <w:r>
            <w:fldChar w:fldCharType="begin"/>
          </w:r>
          <w:r>
            <w:instrText xml:space="preserve"> PAGEREF _Toc10539 \h </w:instrText>
          </w:r>
          <w:r>
            <w:fldChar w:fldCharType="separate"/>
          </w:r>
          <w:r>
            <w:t>10</w:t>
          </w:r>
          <w:r>
            <w:fldChar w:fldCharType="end"/>
          </w:r>
          <w:r>
            <w:rPr>
              <w:bCs/>
              <w:lang w:val="zh-CN"/>
            </w:rPr>
            <w:fldChar w:fldCharType="end"/>
          </w:r>
        </w:p>
        <w:p w14:paraId="7086CB8B">
          <w:pPr>
            <w:pStyle w:val="11"/>
            <w:tabs>
              <w:tab w:val="right" w:leader="dot" w:pos="8305"/>
            </w:tabs>
          </w:pPr>
          <w:r>
            <w:rPr>
              <w:bCs/>
              <w:lang w:val="zh-CN"/>
            </w:rPr>
            <w:fldChar w:fldCharType="begin"/>
          </w:r>
          <w:r>
            <w:rPr>
              <w:bCs/>
              <w:lang w:val="zh-CN"/>
            </w:rPr>
            <w:instrText xml:space="preserve"> HYPERLINK \l _Toc23400 </w:instrText>
          </w:r>
          <w:r>
            <w:rPr>
              <w:bCs/>
              <w:lang w:val="zh-CN"/>
            </w:rPr>
            <w:fldChar w:fldCharType="separate"/>
          </w:r>
          <w:r>
            <w:t xml:space="preserve">4.4 </w:t>
          </w:r>
          <w:r>
            <w:rPr>
              <w:rFonts w:hint="eastAsia"/>
              <w:lang w:val="en-US" w:eastAsia="zh-CN"/>
            </w:rPr>
            <w:t>未来趋势预测</w:t>
          </w:r>
          <w:r>
            <w:tab/>
          </w:r>
          <w:r>
            <w:fldChar w:fldCharType="begin"/>
          </w:r>
          <w:r>
            <w:instrText xml:space="preserve"> PAGEREF _Toc23400 \h </w:instrText>
          </w:r>
          <w:r>
            <w:fldChar w:fldCharType="separate"/>
          </w:r>
          <w:r>
            <w:t>11</w:t>
          </w:r>
          <w:r>
            <w:fldChar w:fldCharType="end"/>
          </w:r>
          <w:r>
            <w:rPr>
              <w:bCs/>
              <w:lang w:val="zh-CN"/>
            </w:rPr>
            <w:fldChar w:fldCharType="end"/>
          </w:r>
        </w:p>
        <w:p w14:paraId="7E1FED0B">
          <w:pPr>
            <w:pStyle w:val="10"/>
            <w:tabs>
              <w:tab w:val="right" w:leader="dot" w:pos="8305"/>
            </w:tabs>
          </w:pPr>
          <w:r>
            <w:rPr>
              <w:bCs/>
              <w:lang w:val="zh-CN"/>
            </w:rPr>
            <w:fldChar w:fldCharType="begin"/>
          </w:r>
          <w:r>
            <w:rPr>
              <w:bCs/>
              <w:lang w:val="zh-CN"/>
            </w:rPr>
            <w:instrText xml:space="preserve"> HYPERLINK \l _Toc5495 </w:instrText>
          </w:r>
          <w:r>
            <w:rPr>
              <w:bCs/>
              <w:lang w:val="zh-CN"/>
            </w:rPr>
            <w:fldChar w:fldCharType="separate"/>
          </w:r>
          <w:r>
            <w:t xml:space="preserve">5. </w:t>
          </w:r>
          <w:r>
            <w:rPr>
              <w:rFonts w:hint="eastAsia"/>
              <w:lang w:val="en-US" w:eastAsia="zh-CN"/>
            </w:rPr>
            <w:t>结论与展望</w:t>
          </w:r>
          <w:r>
            <w:tab/>
          </w:r>
          <w:r>
            <w:fldChar w:fldCharType="begin"/>
          </w:r>
          <w:r>
            <w:instrText xml:space="preserve"> PAGEREF _Toc5495 \h </w:instrText>
          </w:r>
          <w:r>
            <w:fldChar w:fldCharType="separate"/>
          </w:r>
          <w:r>
            <w:t>12</w:t>
          </w:r>
          <w:r>
            <w:fldChar w:fldCharType="end"/>
          </w:r>
          <w:r>
            <w:rPr>
              <w:bCs/>
              <w:lang w:val="zh-CN"/>
            </w:rPr>
            <w:fldChar w:fldCharType="end"/>
          </w:r>
        </w:p>
        <w:p w14:paraId="2E5B5805">
          <w:pPr>
            <w:pStyle w:val="11"/>
            <w:tabs>
              <w:tab w:val="right" w:leader="dot" w:pos="8305"/>
            </w:tabs>
          </w:pPr>
          <w:r>
            <w:rPr>
              <w:bCs/>
              <w:lang w:val="zh-CN"/>
            </w:rPr>
            <w:fldChar w:fldCharType="begin"/>
          </w:r>
          <w:r>
            <w:rPr>
              <w:bCs/>
              <w:lang w:val="zh-CN"/>
            </w:rPr>
            <w:instrText xml:space="preserve"> HYPERLINK \l _Toc10665 </w:instrText>
          </w:r>
          <w:r>
            <w:rPr>
              <w:bCs/>
              <w:lang w:val="zh-CN"/>
            </w:rPr>
            <w:fldChar w:fldCharType="separate"/>
          </w:r>
          <w:r>
            <w:t xml:space="preserve">5.1 </w:t>
          </w:r>
          <w:r>
            <w:rPr>
              <w:rFonts w:hint="eastAsia"/>
              <w:lang w:val="en-US" w:eastAsia="zh-CN"/>
            </w:rPr>
            <w:t>研究结论</w:t>
          </w:r>
          <w:r>
            <w:tab/>
          </w:r>
          <w:r>
            <w:fldChar w:fldCharType="begin"/>
          </w:r>
          <w:r>
            <w:instrText xml:space="preserve"> PAGEREF _Toc10665 \h </w:instrText>
          </w:r>
          <w:r>
            <w:fldChar w:fldCharType="separate"/>
          </w:r>
          <w:r>
            <w:t>12</w:t>
          </w:r>
          <w:r>
            <w:fldChar w:fldCharType="end"/>
          </w:r>
          <w:r>
            <w:rPr>
              <w:bCs/>
              <w:lang w:val="zh-CN"/>
            </w:rPr>
            <w:fldChar w:fldCharType="end"/>
          </w:r>
        </w:p>
        <w:p w14:paraId="296E9726">
          <w:pPr>
            <w:pStyle w:val="11"/>
            <w:tabs>
              <w:tab w:val="right" w:leader="dot" w:pos="8305"/>
            </w:tabs>
          </w:pPr>
          <w:r>
            <w:rPr>
              <w:bCs/>
              <w:lang w:val="zh-CN"/>
            </w:rPr>
            <w:fldChar w:fldCharType="begin"/>
          </w:r>
          <w:r>
            <w:rPr>
              <w:bCs/>
              <w:lang w:val="zh-CN"/>
            </w:rPr>
            <w:instrText xml:space="preserve"> HYPERLINK \l _Toc18404 </w:instrText>
          </w:r>
          <w:r>
            <w:rPr>
              <w:bCs/>
              <w:lang w:val="zh-CN"/>
            </w:rPr>
            <w:fldChar w:fldCharType="separate"/>
          </w:r>
          <w:r>
            <w:t xml:space="preserve">5.2 </w:t>
          </w:r>
          <w:r>
            <w:rPr>
              <w:rFonts w:hint="eastAsia"/>
              <w:lang w:val="en-US" w:eastAsia="zh-CN"/>
            </w:rPr>
            <w:t>不足与展望</w:t>
          </w:r>
          <w:r>
            <w:tab/>
          </w:r>
          <w:r>
            <w:fldChar w:fldCharType="begin"/>
          </w:r>
          <w:r>
            <w:instrText xml:space="preserve"> PAGEREF _Toc18404 \h </w:instrText>
          </w:r>
          <w:r>
            <w:fldChar w:fldCharType="separate"/>
          </w:r>
          <w:r>
            <w:t>12</w:t>
          </w:r>
          <w:r>
            <w:fldChar w:fldCharType="end"/>
          </w:r>
          <w:r>
            <w:rPr>
              <w:bCs/>
              <w:lang w:val="zh-CN"/>
            </w:rPr>
            <w:fldChar w:fldCharType="end"/>
          </w:r>
        </w:p>
        <w:p w14:paraId="5D6B3B65">
          <w:pPr>
            <w:pStyle w:val="10"/>
            <w:tabs>
              <w:tab w:val="right" w:leader="dot" w:pos="8305"/>
            </w:tabs>
          </w:pPr>
          <w:r>
            <w:rPr>
              <w:bCs/>
              <w:lang w:val="zh-CN"/>
            </w:rPr>
            <w:fldChar w:fldCharType="begin"/>
          </w:r>
          <w:r>
            <w:rPr>
              <w:bCs/>
              <w:lang w:val="zh-CN"/>
            </w:rPr>
            <w:instrText xml:space="preserve"> HYPERLINK \l _Toc14065 </w:instrText>
          </w:r>
          <w:r>
            <w:rPr>
              <w:bCs/>
              <w:lang w:val="zh-CN"/>
            </w:rPr>
            <w:fldChar w:fldCharType="separate"/>
          </w:r>
          <w:r>
            <w:rPr>
              <w:highlight w:val="none"/>
            </w:rPr>
            <w:t>6. 问题解决及AI工具的使用</w:t>
          </w:r>
          <w:r>
            <w:tab/>
          </w:r>
          <w:r>
            <w:fldChar w:fldCharType="begin"/>
          </w:r>
          <w:r>
            <w:instrText xml:space="preserve"> PAGEREF _Toc14065 \h </w:instrText>
          </w:r>
          <w:r>
            <w:fldChar w:fldCharType="separate"/>
          </w:r>
          <w:r>
            <w:t>12</w:t>
          </w:r>
          <w:r>
            <w:fldChar w:fldCharType="end"/>
          </w:r>
          <w:r>
            <w:rPr>
              <w:bCs/>
              <w:lang w:val="zh-CN"/>
            </w:rPr>
            <w:fldChar w:fldCharType="end"/>
          </w:r>
        </w:p>
        <w:p w14:paraId="4D784665">
          <w:pPr>
            <w:pStyle w:val="11"/>
            <w:tabs>
              <w:tab w:val="right" w:leader="dot" w:pos="8305"/>
            </w:tabs>
          </w:pPr>
          <w:r>
            <w:rPr>
              <w:bCs/>
              <w:lang w:val="zh-CN"/>
            </w:rPr>
            <w:fldChar w:fldCharType="begin"/>
          </w:r>
          <w:r>
            <w:rPr>
              <w:bCs/>
              <w:lang w:val="zh-CN"/>
            </w:rPr>
            <w:instrText xml:space="preserve"> HYPERLINK \l _Toc15872 </w:instrText>
          </w:r>
          <w:r>
            <w:rPr>
              <w:bCs/>
              <w:lang w:val="zh-CN"/>
            </w:rPr>
            <w:fldChar w:fldCharType="separate"/>
          </w:r>
          <w:r>
            <w:t>6.1 关键</w:t>
          </w:r>
          <w:r>
            <w:rPr>
              <w:rFonts w:hint="eastAsia"/>
            </w:rPr>
            <w:t>问题及解决方法</w:t>
          </w:r>
          <w:r>
            <w:tab/>
          </w:r>
          <w:r>
            <w:fldChar w:fldCharType="begin"/>
          </w:r>
          <w:r>
            <w:instrText xml:space="preserve"> PAGEREF _Toc15872 \h </w:instrText>
          </w:r>
          <w:r>
            <w:fldChar w:fldCharType="separate"/>
          </w:r>
          <w:r>
            <w:t>12</w:t>
          </w:r>
          <w:r>
            <w:fldChar w:fldCharType="end"/>
          </w:r>
          <w:r>
            <w:rPr>
              <w:bCs/>
              <w:lang w:val="zh-CN"/>
            </w:rPr>
            <w:fldChar w:fldCharType="end"/>
          </w:r>
        </w:p>
        <w:p w14:paraId="3ECEE41A">
          <w:pPr>
            <w:pStyle w:val="11"/>
            <w:tabs>
              <w:tab w:val="right" w:leader="dot" w:pos="8305"/>
            </w:tabs>
          </w:pPr>
          <w:r>
            <w:rPr>
              <w:bCs/>
              <w:lang w:val="zh-CN"/>
            </w:rPr>
            <w:fldChar w:fldCharType="begin"/>
          </w:r>
          <w:r>
            <w:rPr>
              <w:bCs/>
              <w:lang w:val="zh-CN"/>
            </w:rPr>
            <w:instrText xml:space="preserve"> HYPERLINK \l _Toc22494 </w:instrText>
          </w:r>
          <w:r>
            <w:rPr>
              <w:bCs/>
              <w:lang w:val="zh-CN"/>
            </w:rPr>
            <w:fldChar w:fldCharType="separate"/>
          </w:r>
          <w:r>
            <w:t>6.2 AI工具使用总结</w:t>
          </w:r>
          <w:r>
            <w:tab/>
          </w:r>
          <w:r>
            <w:fldChar w:fldCharType="begin"/>
          </w:r>
          <w:r>
            <w:instrText xml:space="preserve"> PAGEREF _Toc22494 \h </w:instrText>
          </w:r>
          <w:r>
            <w:fldChar w:fldCharType="separate"/>
          </w:r>
          <w:r>
            <w:t>13</w:t>
          </w:r>
          <w:r>
            <w:fldChar w:fldCharType="end"/>
          </w:r>
          <w:r>
            <w:rPr>
              <w:bCs/>
              <w:lang w:val="zh-CN"/>
            </w:rPr>
            <w:fldChar w:fldCharType="end"/>
          </w:r>
        </w:p>
        <w:p w14:paraId="6A756F31">
          <w:pPr>
            <w:pStyle w:val="10"/>
            <w:tabs>
              <w:tab w:val="right" w:leader="dot" w:pos="8305"/>
            </w:tabs>
          </w:pPr>
          <w:r>
            <w:rPr>
              <w:bCs/>
              <w:lang w:val="zh-CN"/>
            </w:rPr>
            <w:fldChar w:fldCharType="begin"/>
          </w:r>
          <w:r>
            <w:rPr>
              <w:bCs/>
              <w:lang w:val="zh-CN"/>
            </w:rPr>
            <w:instrText xml:space="preserve"> HYPERLINK \l _Toc14869 </w:instrText>
          </w:r>
          <w:r>
            <w:rPr>
              <w:bCs/>
              <w:lang w:val="zh-CN"/>
            </w:rPr>
            <w:fldChar w:fldCharType="separate"/>
          </w:r>
          <w:r>
            <w:rPr>
              <w:highlight w:val="none"/>
            </w:rPr>
            <w:t>7. 学习总结与反思</w:t>
          </w:r>
          <w:r>
            <w:tab/>
          </w:r>
          <w:r>
            <w:fldChar w:fldCharType="begin"/>
          </w:r>
          <w:r>
            <w:instrText xml:space="preserve"> PAGEREF _Toc14869 \h </w:instrText>
          </w:r>
          <w:r>
            <w:fldChar w:fldCharType="separate"/>
          </w:r>
          <w:r>
            <w:t>14</w:t>
          </w:r>
          <w:r>
            <w:fldChar w:fldCharType="end"/>
          </w:r>
          <w:r>
            <w:rPr>
              <w:bCs/>
              <w:lang w:val="zh-CN"/>
            </w:rPr>
            <w:fldChar w:fldCharType="end"/>
          </w:r>
        </w:p>
        <w:p w14:paraId="29AE8D23">
          <w:pPr>
            <w:pStyle w:val="11"/>
            <w:tabs>
              <w:tab w:val="right" w:leader="dot" w:pos="8305"/>
            </w:tabs>
          </w:pPr>
          <w:r>
            <w:rPr>
              <w:bCs/>
              <w:lang w:val="zh-CN"/>
            </w:rPr>
            <w:fldChar w:fldCharType="begin"/>
          </w:r>
          <w:r>
            <w:rPr>
              <w:bCs/>
              <w:lang w:val="zh-CN"/>
            </w:rPr>
            <w:instrText xml:space="preserve"> HYPERLINK \l _Toc3374 </w:instrText>
          </w:r>
          <w:r>
            <w:rPr>
              <w:bCs/>
              <w:lang w:val="zh-CN"/>
            </w:rPr>
            <w:fldChar w:fldCharType="separate"/>
          </w:r>
          <w:r>
            <w:t>7.1 个人总结与反思</w:t>
          </w:r>
          <w:r>
            <w:tab/>
          </w:r>
          <w:r>
            <w:fldChar w:fldCharType="begin"/>
          </w:r>
          <w:r>
            <w:instrText xml:space="preserve"> PAGEREF _Toc3374 \h </w:instrText>
          </w:r>
          <w:r>
            <w:fldChar w:fldCharType="separate"/>
          </w:r>
          <w:r>
            <w:t>14</w:t>
          </w:r>
          <w:r>
            <w:fldChar w:fldCharType="end"/>
          </w:r>
          <w:r>
            <w:rPr>
              <w:bCs/>
              <w:lang w:val="zh-CN"/>
            </w:rPr>
            <w:fldChar w:fldCharType="end"/>
          </w:r>
        </w:p>
        <w:p w14:paraId="4FB464ED">
          <w:pPr>
            <w:pStyle w:val="6"/>
            <w:tabs>
              <w:tab w:val="right" w:leader="dot" w:pos="8305"/>
            </w:tabs>
          </w:pPr>
          <w:r>
            <w:rPr>
              <w:bCs/>
              <w:lang w:val="zh-CN"/>
            </w:rPr>
            <w:fldChar w:fldCharType="begin"/>
          </w:r>
          <w:r>
            <w:rPr>
              <w:bCs/>
              <w:lang w:val="zh-CN"/>
            </w:rPr>
            <w:instrText xml:space="preserve"> HYPERLINK \l _Toc19225 </w:instrText>
          </w:r>
          <w:r>
            <w:rPr>
              <w:bCs/>
              <w:lang w:val="zh-CN"/>
            </w:rPr>
            <w:fldChar w:fldCharType="separate"/>
          </w:r>
          <w:r>
            <w:t xml:space="preserve">7.1.1 </w:t>
          </w:r>
          <w:r>
            <w:rPr>
              <w:rFonts w:hint="eastAsia"/>
              <w:lang w:val="en-US" w:eastAsia="zh-CN"/>
            </w:rPr>
            <w:t>成员A</w:t>
          </w:r>
          <w:r>
            <w:tab/>
          </w:r>
          <w:r>
            <w:fldChar w:fldCharType="begin"/>
          </w:r>
          <w:r>
            <w:instrText xml:space="preserve"> PAGEREF _Toc19225 \h </w:instrText>
          </w:r>
          <w:r>
            <w:fldChar w:fldCharType="separate"/>
          </w:r>
          <w:r>
            <w:t>14</w:t>
          </w:r>
          <w:r>
            <w:fldChar w:fldCharType="end"/>
          </w:r>
          <w:r>
            <w:rPr>
              <w:bCs/>
              <w:lang w:val="zh-CN"/>
            </w:rPr>
            <w:fldChar w:fldCharType="end"/>
          </w:r>
        </w:p>
        <w:p w14:paraId="42849437">
          <w:pPr>
            <w:pStyle w:val="6"/>
            <w:tabs>
              <w:tab w:val="right" w:leader="dot" w:pos="8305"/>
            </w:tabs>
          </w:pPr>
          <w:r>
            <w:rPr>
              <w:bCs/>
              <w:lang w:val="zh-CN"/>
            </w:rPr>
            <w:fldChar w:fldCharType="begin"/>
          </w:r>
          <w:r>
            <w:rPr>
              <w:bCs/>
              <w:lang w:val="zh-CN"/>
            </w:rPr>
            <w:instrText xml:space="preserve"> HYPERLINK \l _Toc15976 </w:instrText>
          </w:r>
          <w:r>
            <w:rPr>
              <w:bCs/>
              <w:lang w:val="zh-CN"/>
            </w:rPr>
            <w:fldChar w:fldCharType="separate"/>
          </w:r>
          <w:r>
            <w:t xml:space="preserve">7.1.2 </w:t>
          </w:r>
          <w:r>
            <w:rPr>
              <w:rFonts w:hint="eastAsia"/>
              <w:lang w:val="en-US" w:eastAsia="zh-CN"/>
            </w:rPr>
            <w:t>成员B</w:t>
          </w:r>
          <w:r>
            <w:tab/>
          </w:r>
          <w:r>
            <w:fldChar w:fldCharType="begin"/>
          </w:r>
          <w:r>
            <w:instrText xml:space="preserve"> PAGEREF _Toc15976 \h </w:instrText>
          </w:r>
          <w:r>
            <w:fldChar w:fldCharType="separate"/>
          </w:r>
          <w:r>
            <w:t>14</w:t>
          </w:r>
          <w:r>
            <w:fldChar w:fldCharType="end"/>
          </w:r>
          <w:r>
            <w:rPr>
              <w:bCs/>
              <w:lang w:val="zh-CN"/>
            </w:rPr>
            <w:fldChar w:fldCharType="end"/>
          </w:r>
        </w:p>
        <w:p w14:paraId="74C07C9C">
          <w:pPr>
            <w:pStyle w:val="11"/>
            <w:tabs>
              <w:tab w:val="right" w:leader="dot" w:pos="8305"/>
            </w:tabs>
          </w:pPr>
          <w:r>
            <w:rPr>
              <w:bCs/>
              <w:lang w:val="zh-CN"/>
            </w:rPr>
            <w:fldChar w:fldCharType="begin"/>
          </w:r>
          <w:r>
            <w:rPr>
              <w:bCs/>
              <w:lang w:val="zh-CN"/>
            </w:rPr>
            <w:instrText xml:space="preserve"> HYPERLINK \l _Toc9526 </w:instrText>
          </w:r>
          <w:r>
            <w:rPr>
              <w:bCs/>
              <w:lang w:val="zh-CN"/>
            </w:rPr>
            <w:fldChar w:fldCharType="separate"/>
          </w:r>
          <w:r>
            <w:t>7.2 小组协作总结</w:t>
          </w:r>
          <w:r>
            <w:tab/>
          </w:r>
          <w:r>
            <w:fldChar w:fldCharType="begin"/>
          </w:r>
          <w:r>
            <w:instrText xml:space="preserve"> PAGEREF _Toc9526 \h </w:instrText>
          </w:r>
          <w:r>
            <w:fldChar w:fldCharType="separate"/>
          </w:r>
          <w:r>
            <w:t>15</w:t>
          </w:r>
          <w:r>
            <w:fldChar w:fldCharType="end"/>
          </w:r>
          <w:r>
            <w:rPr>
              <w:bCs/>
              <w:lang w:val="zh-CN"/>
            </w:rPr>
            <w:fldChar w:fldCharType="end"/>
          </w:r>
        </w:p>
        <w:p w14:paraId="5234CCB4">
          <w:pPr>
            <w:pStyle w:val="10"/>
            <w:tabs>
              <w:tab w:val="right" w:leader="dot" w:pos="8305"/>
            </w:tabs>
          </w:pPr>
          <w:r>
            <w:rPr>
              <w:bCs/>
              <w:lang w:val="zh-CN"/>
            </w:rPr>
            <w:fldChar w:fldCharType="begin"/>
          </w:r>
          <w:r>
            <w:rPr>
              <w:bCs/>
              <w:lang w:val="zh-CN"/>
            </w:rPr>
            <w:instrText xml:space="preserve"> HYPERLINK \l _Toc5832 </w:instrText>
          </w:r>
          <w:r>
            <w:rPr>
              <w:bCs/>
              <w:lang w:val="zh-CN"/>
            </w:rPr>
            <w:fldChar w:fldCharType="separate"/>
          </w:r>
          <w:r>
            <w:t>8. 附录：完整代码整合</w:t>
          </w:r>
          <w:r>
            <w:tab/>
          </w:r>
          <w:r>
            <w:fldChar w:fldCharType="begin"/>
          </w:r>
          <w:r>
            <w:instrText xml:space="preserve"> PAGEREF _Toc5832 \h </w:instrText>
          </w:r>
          <w:r>
            <w:fldChar w:fldCharType="separate"/>
          </w:r>
          <w:r>
            <w:t>15</w:t>
          </w:r>
          <w:r>
            <w:fldChar w:fldCharType="end"/>
          </w:r>
          <w:r>
            <w:rPr>
              <w:bCs/>
              <w:lang w:val="zh-CN"/>
            </w:rPr>
            <w:fldChar w:fldCharType="end"/>
          </w:r>
        </w:p>
        <w:p w14:paraId="2D3C6778">
          <w:pPr>
            <w:pStyle w:val="11"/>
            <w:tabs>
              <w:tab w:val="right" w:leader="dot" w:pos="8305"/>
            </w:tabs>
          </w:pPr>
          <w:r>
            <w:rPr>
              <w:bCs/>
              <w:lang w:val="zh-CN"/>
            </w:rPr>
            <w:fldChar w:fldCharType="begin"/>
          </w:r>
          <w:r>
            <w:rPr>
              <w:bCs/>
              <w:lang w:val="zh-CN"/>
            </w:rPr>
            <w:instrText xml:space="preserve"> HYPERLINK \l _Toc22417 </w:instrText>
          </w:r>
          <w:r>
            <w:rPr>
              <w:bCs/>
              <w:lang w:val="zh-CN"/>
            </w:rPr>
            <w:fldChar w:fldCharType="separate"/>
          </w:r>
          <w:r>
            <w:rPr>
              <w:rFonts w:hint="eastAsia"/>
              <w:lang w:val="en-US" w:eastAsia="zh-CN"/>
            </w:rPr>
            <w:t xml:space="preserve">8.1 </w:t>
          </w:r>
          <w:r>
            <w:t>表格数据获取代码（1_crawl_table.py）</w:t>
          </w:r>
          <w:r>
            <w:tab/>
          </w:r>
          <w:r>
            <w:fldChar w:fldCharType="begin"/>
          </w:r>
          <w:r>
            <w:instrText xml:space="preserve"> PAGEREF _Toc22417 \h </w:instrText>
          </w:r>
          <w:r>
            <w:fldChar w:fldCharType="separate"/>
          </w:r>
          <w:r>
            <w:t>15</w:t>
          </w:r>
          <w:r>
            <w:fldChar w:fldCharType="end"/>
          </w:r>
          <w:r>
            <w:rPr>
              <w:bCs/>
              <w:lang w:val="zh-CN"/>
            </w:rPr>
            <w:fldChar w:fldCharType="end"/>
          </w:r>
        </w:p>
        <w:p w14:paraId="40550080">
          <w:pPr>
            <w:pStyle w:val="11"/>
            <w:tabs>
              <w:tab w:val="right" w:leader="dot" w:pos="8305"/>
            </w:tabs>
          </w:pPr>
          <w:r>
            <w:rPr>
              <w:bCs/>
              <w:lang w:val="zh-CN"/>
            </w:rPr>
            <w:fldChar w:fldCharType="begin"/>
          </w:r>
          <w:r>
            <w:rPr>
              <w:bCs/>
              <w:lang w:val="zh-CN"/>
            </w:rPr>
            <w:instrText xml:space="preserve"> HYPERLINK \l _Toc32363 </w:instrText>
          </w:r>
          <w:r>
            <w:rPr>
              <w:bCs/>
              <w:lang w:val="zh-CN"/>
            </w:rPr>
            <w:fldChar w:fldCharType="separate"/>
          </w:r>
          <w:r>
            <w:rPr>
              <w:rFonts w:hint="eastAsia"/>
              <w:lang w:val="en-US" w:eastAsia="zh-CN"/>
            </w:rPr>
            <w:t>8.2 文本数据获取代码（2_crawl_text.py）</w:t>
          </w:r>
          <w:r>
            <w:tab/>
          </w:r>
          <w:r>
            <w:fldChar w:fldCharType="begin"/>
          </w:r>
          <w:r>
            <w:instrText xml:space="preserve"> PAGEREF _Toc32363 \h </w:instrText>
          </w:r>
          <w:r>
            <w:fldChar w:fldCharType="separate"/>
          </w:r>
          <w:r>
            <w:t>16</w:t>
          </w:r>
          <w:r>
            <w:fldChar w:fldCharType="end"/>
          </w:r>
          <w:r>
            <w:rPr>
              <w:bCs/>
              <w:lang w:val="zh-CN"/>
            </w:rPr>
            <w:fldChar w:fldCharType="end"/>
          </w:r>
        </w:p>
        <w:p w14:paraId="545AD377">
          <w:pPr>
            <w:pStyle w:val="11"/>
            <w:tabs>
              <w:tab w:val="right" w:leader="dot" w:pos="8305"/>
            </w:tabs>
          </w:pPr>
          <w:r>
            <w:rPr>
              <w:bCs/>
              <w:lang w:val="zh-CN"/>
            </w:rPr>
            <w:fldChar w:fldCharType="begin"/>
          </w:r>
          <w:r>
            <w:rPr>
              <w:bCs/>
              <w:lang w:val="zh-CN"/>
            </w:rPr>
            <w:instrText xml:space="preserve"> HYPERLINK \l _Toc4399 </w:instrText>
          </w:r>
          <w:r>
            <w:rPr>
              <w:bCs/>
              <w:lang w:val="zh-CN"/>
            </w:rPr>
            <w:fldChar w:fldCharType="separate"/>
          </w:r>
          <w:r>
            <w:rPr>
              <w:rFonts w:hint="eastAsia"/>
              <w:lang w:val="en-US" w:eastAsia="zh-CN"/>
            </w:rPr>
            <w:t>8.3 数据可视化代码（3_visualization.py）</w:t>
          </w:r>
          <w:r>
            <w:tab/>
          </w:r>
          <w:r>
            <w:fldChar w:fldCharType="begin"/>
          </w:r>
          <w:r>
            <w:instrText xml:space="preserve"> PAGEREF _Toc4399 \h </w:instrText>
          </w:r>
          <w:r>
            <w:fldChar w:fldCharType="separate"/>
          </w:r>
          <w:r>
            <w:t>17</w:t>
          </w:r>
          <w:r>
            <w:fldChar w:fldCharType="end"/>
          </w:r>
          <w:r>
            <w:rPr>
              <w:bCs/>
              <w:lang w:val="zh-CN"/>
            </w:rPr>
            <w:fldChar w:fldCharType="end"/>
          </w:r>
        </w:p>
        <w:p w14:paraId="2CD536EA">
          <w:pPr>
            <w:pStyle w:val="11"/>
            <w:tabs>
              <w:tab w:val="right" w:leader="dot" w:pos="8305"/>
            </w:tabs>
          </w:pPr>
          <w:r>
            <w:rPr>
              <w:bCs/>
              <w:lang w:val="zh-CN"/>
            </w:rPr>
            <w:fldChar w:fldCharType="begin"/>
          </w:r>
          <w:r>
            <w:rPr>
              <w:bCs/>
              <w:lang w:val="zh-CN"/>
            </w:rPr>
            <w:instrText xml:space="preserve"> HYPERLINK \l _Toc14872 </w:instrText>
          </w:r>
          <w:r>
            <w:rPr>
              <w:bCs/>
              <w:lang w:val="zh-CN"/>
            </w:rPr>
            <w:fldChar w:fldCharType="separate"/>
          </w:r>
          <w:r>
            <w:rPr>
              <w:rFonts w:hint="eastAsia"/>
              <w:lang w:val="en-US" w:eastAsia="zh-CN"/>
            </w:rPr>
            <w:t>8.4 ARIMA预测代码（4_prediction.py）</w:t>
          </w:r>
          <w:r>
            <w:tab/>
          </w:r>
          <w:r>
            <w:fldChar w:fldCharType="begin"/>
          </w:r>
          <w:r>
            <w:instrText xml:space="preserve"> PAGEREF _Toc14872 \h </w:instrText>
          </w:r>
          <w:r>
            <w:fldChar w:fldCharType="separate"/>
          </w:r>
          <w:r>
            <w:t>21</w:t>
          </w:r>
          <w:r>
            <w:fldChar w:fldCharType="end"/>
          </w:r>
          <w:r>
            <w:rPr>
              <w:bCs/>
              <w:lang w:val="zh-CN"/>
            </w:rPr>
            <w:fldChar w:fldCharType="end"/>
          </w:r>
        </w:p>
        <w:p w14:paraId="37DF091F">
          <w:pPr>
            <w:ind w:firstLine="482"/>
          </w:pPr>
          <w:r>
            <w:rPr>
              <w:bCs/>
              <w:lang w:val="zh-CN"/>
            </w:rPr>
            <w:fldChar w:fldCharType="end"/>
          </w:r>
        </w:p>
      </w:sdtContent>
    </w:sdt>
    <w:p w14:paraId="26F265D1">
      <w:pPr>
        <w:widowControl/>
        <w:spacing w:line="240" w:lineRule="auto"/>
        <w:ind w:firstLine="0" w:firstLineChars="0"/>
        <w:jc w:val="left"/>
      </w:pPr>
    </w:p>
    <w:p w14:paraId="574DBF96">
      <w:pPr>
        <w:widowControl/>
        <w:spacing w:line="240" w:lineRule="auto"/>
        <w:ind w:firstLine="0" w:firstLineChars="0"/>
        <w:jc w:val="left"/>
      </w:pPr>
    </w:p>
    <w:p w14:paraId="7A8EB1AA">
      <w:pPr>
        <w:pStyle w:val="2"/>
        <w:spacing w:before="120"/>
        <w:jc w:val="center"/>
        <w:sectPr>
          <w:headerReference r:id="rId7" w:type="first"/>
          <w:footerReference r:id="rId10" w:type="first"/>
          <w:headerReference r:id="rId5" w:type="default"/>
          <w:footerReference r:id="rId8" w:type="default"/>
          <w:headerReference r:id="rId6" w:type="even"/>
          <w:footerReference r:id="rId9" w:type="even"/>
          <w:pgSz w:w="11905" w:h="16840"/>
          <w:pgMar w:top="1440" w:right="1800" w:bottom="1440" w:left="1800" w:header="720" w:footer="720" w:gutter="0"/>
          <w:cols w:space="720" w:num="1"/>
          <w:docGrid w:linePitch="326" w:charSpace="0"/>
        </w:sectPr>
      </w:pPr>
    </w:p>
    <w:p w14:paraId="303244F0">
      <w:pPr>
        <w:pStyle w:val="2"/>
        <w:spacing w:before="120"/>
        <w:jc w:val="center"/>
      </w:pPr>
      <w:bookmarkStart w:id="3" w:name="_Toc31257"/>
      <w:r>
        <w:t>摘要</w:t>
      </w:r>
      <w:bookmarkEnd w:id="0"/>
      <w:bookmarkEnd w:id="3"/>
    </w:p>
    <w:p w14:paraId="648CCE58">
      <w:pPr>
        <w:ind w:firstLine="480"/>
      </w:pPr>
      <w:r>
        <w:rPr>
          <w:rFonts w:hint="eastAsia"/>
        </w:rPr>
        <w:t>GDP是衡量国家与地区经济实力的核心指标，而A股市场作为中国资本市场的重要组成部分，汇聚了各行业的上市公司，其财务数据的深度挖掘与趋势预测对宏观经济研究和投资决策具有重要价值。本报告以A股上市公司为研究对象，通过Tushare金融数据接口获取股票基本信息、日线行情、财务指标等表格数据，同时利用网络爬虫技术从东方财富网抓取财经新闻文本数据，构建了完整的数据采集体系。在数据分析阶段，运用统计方法对上市公司的行业分布、地域分布、股价走势、成交量与涨跌幅关系等进行了多维度分析，并通过柱状图、条形图、折线图、散点图、饼图、环形图、时间序列图、地理空间图、动态可视化图和词云共10种可视化图表直观呈现分析结果。在模型预测阶段，采用ARIMA时间序列模型对贵州茅台股价进行建模与预测，经ADF检验确认序列非平稳后进行差分处理，最终构建ARIMA(5,1,2)模型，预测精度达到MAPE=2.06%，实现了从数据获取到智能预测的完整闭环。</w:t>
      </w:r>
    </w:p>
    <w:p w14:paraId="35CA52F0">
      <w:pPr>
        <w:pStyle w:val="2"/>
        <w:spacing w:before="120"/>
      </w:pPr>
      <w:bookmarkStart w:id="4" w:name="_Toc1311"/>
      <w:bookmarkStart w:id="5" w:name="heading_2"/>
      <w:r>
        <w:rPr>
          <w:rFonts w:hint="eastAsia"/>
        </w:rPr>
        <w:t>1</w:t>
      </w:r>
      <w:r>
        <w:t>. 引言</w:t>
      </w:r>
      <w:bookmarkEnd w:id="4"/>
      <w:bookmarkEnd w:id="5"/>
    </w:p>
    <w:p w14:paraId="5C04ED57">
      <w:pPr>
        <w:pStyle w:val="3"/>
        <w:spacing w:before="120"/>
      </w:pPr>
      <w:bookmarkStart w:id="6" w:name="_Toc21819"/>
      <w:bookmarkStart w:id="7" w:name="heading_3"/>
      <w:r>
        <w:t>1.1 研究背景与意义</w:t>
      </w:r>
      <w:bookmarkEnd w:id="6"/>
      <w:bookmarkEnd w:id="7"/>
    </w:p>
    <w:p w14:paraId="615C6C29">
      <w:pPr>
        <w:ind w:firstLine="480"/>
        <w:rPr>
          <w:rFonts w:hint="eastAsia"/>
          <w:lang w:eastAsia="zh-CN"/>
        </w:rPr>
      </w:pPr>
      <w:r>
        <w:rPr>
          <w:rFonts w:hint="eastAsia"/>
          <w:lang w:eastAsia="zh-CN"/>
        </w:rPr>
        <w:t>随着中国资本市场不断发展壮大，A股上市公司数量已超过5000家，涵盖了银行、白酒、电子元件、化工、软件服务等众多行业。海量的财务数据蕴含着丰富的经济信息，传统的人工分析方式已难以满足快速决策的需求。利用Python编程语言进行数据采集、清洗、可视化分析和趋势预测，已成为金融数据研究的重要手段。</w:t>
      </w:r>
    </w:p>
    <w:p w14:paraId="64AF9618">
      <w:pPr>
        <w:ind w:firstLine="480"/>
        <w:rPr>
          <w:rFonts w:hint="eastAsia" w:eastAsiaTheme="minorEastAsia"/>
          <w:lang w:eastAsia="zh-CN"/>
        </w:rPr>
      </w:pPr>
      <w:r>
        <w:rPr>
          <w:rFonts w:hint="eastAsia"/>
          <w:lang w:eastAsia="zh-CN"/>
        </w:rPr>
        <w:t>本研究选取A股上市公司财务数据作为分析对象，重点关注白酒行业龙头企业贵州茅台的股价走势与财务表现。通过系统性的数据采集、多维度的可视化分析以及ARIMA时间序列模型的预测建模，旨在为投资者提供数据驱动的参考依据，同时锻炼数据处理与分析的实践能力。</w:t>
      </w:r>
    </w:p>
    <w:p w14:paraId="337F5909">
      <w:pPr>
        <w:pStyle w:val="3"/>
        <w:spacing w:before="120"/>
      </w:pPr>
      <w:bookmarkStart w:id="8" w:name="heading_4"/>
      <w:bookmarkStart w:id="9" w:name="_Toc15438"/>
      <w:r>
        <w:t>1.2 研究内容与目标</w:t>
      </w:r>
      <w:bookmarkEnd w:id="8"/>
      <w:bookmarkEnd w:id="9"/>
    </w:p>
    <w:p w14:paraId="07DCAFA1">
      <w:pPr>
        <w:ind w:firstLine="480"/>
      </w:pPr>
      <w:r>
        <w:rPr>
          <w:rFonts w:hint="eastAsia"/>
        </w:rPr>
        <w:t>本研究围绕A股上市公司财务数据展开全面分析与预测，主要内容包含三个方面。第一，数据获取层面，通过Tushare金融数据接口获取股票基本信息、日线行情、财务指标和收入报表等表格数据并保存为CSV文件，同时利用requests和BeautifulSoup库从东方财富网爬取财经新闻标题和正文作为文本数据。第二，数据可视化分析层面，使用matplotlib库生成柱状图、条形图、折线图、散点图、饼图、环形图、时间序列图、地理空间图、动态可视化图和词云共10种图表，从行业分布、地域分布、股价趋势、成交特征等多个维度刻画A股市场全貌。第三，模型预测层面，针对贵州茅台2023年至2025年的日线数据，构建ARIMA时间序列预测模型，完成模型训练、精度评估和未来30个交易日的股价预测，形成从数据采集到智能预测的完整闭环。</w:t>
      </w:r>
    </w:p>
    <w:p w14:paraId="6A716C15">
      <w:pPr>
        <w:pStyle w:val="3"/>
        <w:spacing w:before="120"/>
        <w:rPr>
          <w:highlight w:val="none"/>
        </w:rPr>
      </w:pPr>
      <w:bookmarkStart w:id="10" w:name="_Toc16403"/>
      <w:bookmarkStart w:id="11" w:name="heading_5"/>
      <w:r>
        <w:rPr>
          <w:highlight w:val="none"/>
        </w:rPr>
        <w:t>1.3 小组分工</w:t>
      </w:r>
      <w:bookmarkEnd w:id="10"/>
      <w:bookmarkEnd w:id="11"/>
    </w:p>
    <w:p w14:paraId="2CEBD567">
      <w:pPr>
        <w:ind w:firstLine="480"/>
      </w:pPr>
      <w:r>
        <w:t>为确保研究顺利推进，小组成员明确分工、协同合作，具体分工如下：</w:t>
      </w:r>
    </w:p>
    <w:p w14:paraId="18F3D833">
      <w:pPr>
        <w:ind w:firstLine="480"/>
      </w:pPr>
      <w:r>
        <w:rPr>
          <w:rFonts w:hint="eastAsia"/>
          <w:lang w:val="en-US" w:eastAsia="zh-CN"/>
        </w:rPr>
        <w:t>成员A</w:t>
      </w:r>
      <w:r>
        <w:t>：负责数据获取、数据清洗、数据集合并与存储，确保原始数据的完整性与预处理后数据的质量；负责模型的建立、评估与</w:t>
      </w:r>
      <w:r>
        <w:rPr>
          <w:rFonts w:hint="eastAsia"/>
          <w:lang w:val="en-US" w:eastAsia="zh-CN"/>
        </w:rPr>
        <w:t>数据</w:t>
      </w:r>
      <w:r>
        <w:t>预测，确保模型的合理性与预测结果的可靠性。</w:t>
      </w:r>
    </w:p>
    <w:p w14:paraId="4235B76C">
      <w:pPr>
        <w:ind w:firstLine="480"/>
        <w:rPr>
          <w:rFonts w:hint="eastAsia" w:eastAsiaTheme="minorEastAsia"/>
          <w:lang w:eastAsia="zh-CN"/>
        </w:rPr>
      </w:pPr>
      <w:r>
        <w:rPr>
          <w:rFonts w:hint="eastAsia"/>
          <w:lang w:val="en-US" w:eastAsia="zh-CN"/>
        </w:rPr>
        <w:t>成员B</w:t>
      </w:r>
      <w:r>
        <w:t>：负责所有可视化图表的绘制、图表结果解读及分析报告主体内容的撰写，确保可视化效果清晰、解读准确、报告逻辑流畅</w:t>
      </w:r>
      <w:r>
        <w:rPr>
          <w:rFonts w:hint="eastAsia"/>
          <w:lang w:eastAsia="zh-CN"/>
        </w:rPr>
        <w:t>。</w:t>
      </w:r>
    </w:p>
    <w:p w14:paraId="1A07EB3E">
      <w:pPr>
        <w:pStyle w:val="2"/>
        <w:spacing w:before="120"/>
      </w:pPr>
      <w:bookmarkStart w:id="12" w:name="heading_6"/>
      <w:bookmarkStart w:id="13" w:name="_Toc3131"/>
      <w:r>
        <w:rPr>
          <w:rFonts w:hint="eastAsia"/>
        </w:rPr>
        <w:t>2</w:t>
      </w:r>
      <w:r>
        <w:t>. 数据获取与预处理</w:t>
      </w:r>
      <w:bookmarkEnd w:id="12"/>
      <w:bookmarkEnd w:id="13"/>
    </w:p>
    <w:p w14:paraId="0BBF8CAF">
      <w:pPr>
        <w:pStyle w:val="3"/>
        <w:spacing w:before="120"/>
      </w:pPr>
      <w:bookmarkStart w:id="14" w:name="_Toc23055"/>
      <w:bookmarkStart w:id="15" w:name="heading_7"/>
      <w:r>
        <w:t>2.1 数据来源</w:t>
      </w:r>
      <w:bookmarkEnd w:id="14"/>
      <w:bookmarkEnd w:id="15"/>
    </w:p>
    <w:p w14:paraId="0C917133">
      <w:pPr>
        <w:ind w:firstLine="480"/>
        <w:rPr>
          <w:rFonts w:cs="Times New Roman"/>
          <w:szCs w:val="24"/>
        </w:rPr>
      </w:pPr>
      <w:r>
        <w:rPr>
          <w:rFonts w:hint="eastAsia" w:cs="Times New Roman"/>
          <w:szCs w:val="24"/>
        </w:rPr>
        <w:t>本研究的表格数据来源于Tushare金融大数据平台。Tushare是国内领先的金融数据接口服务商，提供了丰富的A股市场数据，包括股票基本信息、每日行情、财务报表、公司公告等。通过调用Tushare的Python接口，可以便捷地获取结构化的金融数据，数据质量可靠、更新及时。文本数据来源于东方财富网财经频道，通过网络爬虫技术获取最新的财经新闻标题和正文内容，用于后续的文本分析和词云可视化。</w:t>
      </w:r>
    </w:p>
    <w:p w14:paraId="30BE1E91">
      <w:pPr>
        <w:pStyle w:val="3"/>
        <w:spacing w:before="120"/>
        <w:rPr>
          <w:rFonts w:hint="default" w:eastAsiaTheme="majorEastAsia"/>
          <w:lang w:val="en-US" w:eastAsia="zh-CN"/>
        </w:rPr>
      </w:pPr>
      <w:bookmarkStart w:id="16" w:name="heading_8"/>
      <w:bookmarkStart w:id="17" w:name="_Toc28573"/>
      <w:r>
        <w:t xml:space="preserve">2.2 </w:t>
      </w:r>
      <w:bookmarkEnd w:id="16"/>
      <w:r>
        <w:rPr>
          <w:rFonts w:hint="eastAsia"/>
          <w:lang w:val="en-US" w:eastAsia="zh-CN"/>
        </w:rPr>
        <w:t>表格数据获取</w:t>
      </w:r>
      <w:bookmarkEnd w:id="17"/>
    </w:p>
    <w:p w14:paraId="0C7C1F6B">
      <w:pPr>
        <w:ind w:firstLine="480"/>
        <w:rPr>
          <w:rFonts w:hint="eastAsia"/>
          <w:lang w:eastAsia="zh-CN"/>
        </w:rPr>
      </w:pPr>
      <w:r>
        <w:rPr>
          <w:rFonts w:hint="eastAsia"/>
          <w:lang w:eastAsia="zh-CN"/>
        </w:rPr>
        <w:t>表格数据的获取使用Tushare的Python接口完成，主要获取了四类数据。第一类是A股全部上市公司基本信息，包含股票代码、公司名称、所在地区、所属行业、上市板块和上市日期等字段，共获取5000余条记录。第二类是贵州茅台2023年1月至2025年12月的日线行情数据，包含开盘价、收盘价、最高价、最低价、成交量、成交额和涨跌幅等字段，共获取700余条记录。第三类是贵州茅台的财务指标数据，涵盖每股收益、净资产收益率、毛利率和净利润同比增长率等核心财务指标。第四类是五只白酒股的收入报表数据，用于行业对比分析。所有数据均保存为CSV格式文件，存储在data目录下。</w:t>
      </w:r>
    </w:p>
    <w:p w14:paraId="6A929188">
      <w:pPr>
        <w:ind w:firstLine="480"/>
        <w:rPr>
          <w:rFonts w:hint="eastAsia"/>
          <w:lang w:eastAsia="zh-CN"/>
        </w:rPr>
      </w:pPr>
      <w:r>
        <w:rPr>
          <w:rFonts w:hint="eastAsia"/>
          <w:lang w:eastAsia="zh-CN"/>
        </w:rPr>
        <w:t>表格数据获取的核心代码如下：</w:t>
      </w:r>
    </w:p>
    <w:p w14:paraId="744BB48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rPr>
          <w:rFonts w:ascii="Cambria" w:hAnsi="Cambria" w:eastAsia="宋体" w:cs="Times New Roman"/>
          <w:kern w:val="0"/>
          <w:sz w:val="22"/>
          <w:lang w:eastAsia="en-US"/>
        </w:rPr>
      </w:pPr>
      <w:r>
        <w:rPr>
          <w:rFonts w:ascii="Consolas" w:hAnsi="Consolas" w:eastAsia="Consolas" w:cs="Times New Roman"/>
          <w:kern w:val="0"/>
          <w:sz w:val="20"/>
          <w:lang w:eastAsia="en-US"/>
        </w:rPr>
        <w:t>import os, tushare as ts, pandas as pd</w:t>
      </w:r>
    </w:p>
    <w:p w14:paraId="17DCB72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rPr>
          <w:rFonts w:ascii="Cambria" w:hAnsi="Cambria" w:eastAsia="宋体" w:cs="Times New Roman"/>
          <w:kern w:val="0"/>
          <w:sz w:val="22"/>
          <w:lang w:eastAsia="en-US"/>
        </w:rPr>
      </w:pPr>
    </w:p>
    <w:p w14:paraId="6F4420E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rPr>
          <w:rFonts w:ascii="Cambria" w:hAnsi="Cambria" w:eastAsia="宋体" w:cs="Times New Roman"/>
          <w:kern w:val="0"/>
          <w:sz w:val="22"/>
          <w:lang w:eastAsia="en-US"/>
        </w:rPr>
      </w:pPr>
      <w:r>
        <w:rPr>
          <w:rFonts w:ascii="Consolas" w:hAnsi="Consolas" w:eastAsia="Consolas" w:cs="Times New Roman"/>
          <w:kern w:val="0"/>
          <w:sz w:val="20"/>
          <w:lang w:eastAsia="en-US"/>
        </w:rPr>
        <w:t>TOKEN = '</w:t>
      </w:r>
      <w:r>
        <w:rPr>
          <w:rFonts w:hint="eastAsia" w:ascii="Consolas" w:hAnsi="Consolas" w:eastAsia="宋体" w:cs="Times New Roman"/>
          <w:kern w:val="0"/>
          <w:sz w:val="20"/>
          <w:lang w:val="en-US" w:eastAsia="zh-CN"/>
        </w:rPr>
        <w:t>your-token</w:t>
      </w:r>
      <w:r>
        <w:rPr>
          <w:rFonts w:ascii="Consolas" w:hAnsi="Consolas" w:eastAsia="Consolas" w:cs="Times New Roman"/>
          <w:kern w:val="0"/>
          <w:sz w:val="20"/>
          <w:lang w:eastAsia="en-US"/>
        </w:rPr>
        <w:t>'</w:t>
      </w:r>
    </w:p>
    <w:p w14:paraId="47FE08A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rPr>
          <w:rFonts w:ascii="Cambria" w:hAnsi="Cambria" w:eastAsia="宋体" w:cs="Times New Roman"/>
          <w:kern w:val="0"/>
          <w:sz w:val="22"/>
          <w:lang w:eastAsia="en-US"/>
        </w:rPr>
      </w:pPr>
      <w:r>
        <w:rPr>
          <w:rFonts w:ascii="Consolas" w:hAnsi="Consolas" w:eastAsia="Consolas" w:cs="Times New Roman"/>
          <w:kern w:val="0"/>
          <w:sz w:val="20"/>
          <w:lang w:eastAsia="en-US"/>
        </w:rPr>
        <w:t>ts.set_token(TOKEN)</w:t>
      </w:r>
    </w:p>
    <w:p w14:paraId="3DA54E0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rPr>
          <w:rFonts w:ascii="Cambria" w:hAnsi="Cambria" w:eastAsia="宋体" w:cs="Times New Roman"/>
          <w:kern w:val="0"/>
          <w:sz w:val="22"/>
          <w:lang w:eastAsia="en-US"/>
        </w:rPr>
      </w:pPr>
      <w:r>
        <w:rPr>
          <w:rFonts w:ascii="Consolas" w:hAnsi="Consolas" w:eastAsia="Consolas" w:cs="Times New Roman"/>
          <w:kern w:val="0"/>
          <w:sz w:val="20"/>
          <w:lang w:eastAsia="en-US"/>
        </w:rPr>
        <w:t>pro = ts.pro_api()</w:t>
      </w:r>
    </w:p>
    <w:p w14:paraId="7B2F451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rPr>
          <w:rFonts w:ascii="Cambria" w:hAnsi="Cambria" w:eastAsia="宋体" w:cs="Times New Roman"/>
          <w:kern w:val="0"/>
          <w:sz w:val="22"/>
          <w:lang w:eastAsia="en-US"/>
        </w:rPr>
      </w:pPr>
      <w:r>
        <w:rPr>
          <w:rFonts w:ascii="Consolas" w:hAnsi="Consolas" w:eastAsia="Consolas" w:cs="Times New Roman"/>
          <w:kern w:val="0"/>
          <w:sz w:val="20"/>
          <w:lang w:eastAsia="en-US"/>
        </w:rPr>
        <w:t>os.makedirs('data', exist_ok=True)</w:t>
      </w:r>
    </w:p>
    <w:p w14:paraId="508E994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rPr>
          <w:rFonts w:ascii="Cambria" w:hAnsi="Cambria" w:eastAsia="宋体" w:cs="Times New Roman"/>
          <w:kern w:val="0"/>
          <w:sz w:val="22"/>
          <w:lang w:eastAsia="en-US"/>
        </w:rPr>
      </w:pPr>
    </w:p>
    <w:p w14:paraId="523EAEA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rPr>
          <w:rFonts w:ascii="Cambria" w:hAnsi="Cambria" w:eastAsia="宋体" w:cs="Times New Roman"/>
          <w:kern w:val="0"/>
          <w:sz w:val="22"/>
          <w:lang w:eastAsia="en-US"/>
        </w:rPr>
      </w:pPr>
      <w:r>
        <w:rPr>
          <w:rFonts w:ascii="Consolas" w:hAnsi="Consolas" w:eastAsia="Consolas" w:cs="Times New Roman"/>
          <w:kern w:val="0"/>
          <w:sz w:val="20"/>
          <w:lang w:eastAsia="en-US"/>
        </w:rPr>
        <w:t>stock_basic = pro.stock_basic(exchange='', list_status='L',</w:t>
      </w:r>
    </w:p>
    <w:p w14:paraId="6A3A90E9">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rPr>
          <w:rFonts w:ascii="Cambria" w:hAnsi="Cambria" w:eastAsia="宋体" w:cs="Times New Roman"/>
          <w:kern w:val="0"/>
          <w:sz w:val="22"/>
          <w:lang w:eastAsia="en-US"/>
        </w:rPr>
      </w:pPr>
      <w:r>
        <w:rPr>
          <w:rFonts w:ascii="Consolas" w:hAnsi="Consolas" w:eastAsia="Consolas" w:cs="Times New Roman"/>
          <w:kern w:val="0"/>
          <w:sz w:val="20"/>
          <w:lang w:eastAsia="en-US"/>
        </w:rPr>
        <w:t xml:space="preserve">    fields='ts_code,symbol,name,area,industry,market,list_date')</w:t>
      </w:r>
    </w:p>
    <w:p w14:paraId="3918FBD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rPr>
          <w:rFonts w:ascii="Cambria" w:hAnsi="Cambria" w:eastAsia="宋体" w:cs="Times New Roman"/>
          <w:kern w:val="0"/>
          <w:sz w:val="22"/>
          <w:lang w:eastAsia="en-US"/>
        </w:rPr>
      </w:pPr>
      <w:r>
        <w:rPr>
          <w:rFonts w:ascii="Consolas" w:hAnsi="Consolas" w:eastAsia="Consolas" w:cs="Times New Roman"/>
          <w:kern w:val="0"/>
          <w:sz w:val="20"/>
          <w:lang w:eastAsia="en-US"/>
        </w:rPr>
        <w:t>stock_basic.to_csv('data/stock_basic.csv', index=False, encoding='utf-8-sig')</w:t>
      </w:r>
    </w:p>
    <w:p w14:paraId="61956E79">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rPr>
          <w:rFonts w:ascii="Cambria" w:hAnsi="Cambria" w:eastAsia="宋体" w:cs="Times New Roman"/>
          <w:kern w:val="0"/>
          <w:sz w:val="22"/>
          <w:lang w:eastAsia="en-US"/>
        </w:rPr>
      </w:pPr>
    </w:p>
    <w:p w14:paraId="75869C2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rPr>
          <w:rFonts w:ascii="Cambria" w:hAnsi="Cambria" w:eastAsia="宋体" w:cs="Times New Roman"/>
          <w:kern w:val="0"/>
          <w:sz w:val="22"/>
          <w:lang w:eastAsia="en-US"/>
        </w:rPr>
      </w:pPr>
      <w:r>
        <w:rPr>
          <w:rFonts w:ascii="Consolas" w:hAnsi="Consolas" w:eastAsia="Consolas" w:cs="Times New Roman"/>
          <w:kern w:val="0"/>
          <w:sz w:val="20"/>
          <w:lang w:eastAsia="en-US"/>
        </w:rPr>
        <w:t>daily = pro.daily(ts_code='600519.SH', start_date='20230101', end_date='20251231')</w:t>
      </w:r>
    </w:p>
    <w:p w14:paraId="034D7806">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rPr>
          <w:rFonts w:ascii="Cambria" w:hAnsi="Cambria" w:eastAsia="宋体" w:cs="Times New Roman"/>
          <w:kern w:val="0"/>
          <w:sz w:val="22"/>
          <w:lang w:eastAsia="en-US"/>
        </w:rPr>
      </w:pPr>
      <w:r>
        <w:rPr>
          <w:rFonts w:ascii="Consolas" w:hAnsi="Consolas" w:eastAsia="Consolas" w:cs="Times New Roman"/>
          <w:kern w:val="0"/>
          <w:sz w:val="20"/>
          <w:lang w:eastAsia="en-US"/>
        </w:rPr>
        <w:t>daily.to_csv('data/daily_600519.csv', index=False, encoding='utf-8-sig')</w:t>
      </w:r>
    </w:p>
    <w:p w14:paraId="646BE0AE">
      <w:pPr>
        <w:pStyle w:val="3"/>
        <w:spacing w:before="120"/>
        <w:rPr>
          <w:rFonts w:hint="eastAsia" w:eastAsiaTheme="majorEastAsia"/>
          <w:lang w:val="en-US" w:eastAsia="zh-CN"/>
        </w:rPr>
      </w:pPr>
      <w:bookmarkStart w:id="18" w:name="heading_9"/>
      <w:bookmarkStart w:id="19" w:name="_Toc12292"/>
      <w:r>
        <w:t xml:space="preserve">2.3 </w:t>
      </w:r>
      <w:bookmarkEnd w:id="18"/>
      <w:r>
        <w:rPr>
          <w:rFonts w:hint="eastAsia"/>
          <w:lang w:val="en-US" w:eastAsia="zh-CN"/>
        </w:rPr>
        <w:t>文本数据获取</w:t>
      </w:r>
      <w:bookmarkEnd w:id="19"/>
    </w:p>
    <w:p w14:paraId="355E4F48">
      <w:pPr>
        <w:ind w:firstLine="480"/>
        <w:rPr>
          <w:rFonts w:hint="eastAsia"/>
        </w:rPr>
      </w:pPr>
      <w:r>
        <w:rPr>
          <w:rFonts w:hint="eastAsia"/>
        </w:rPr>
        <w:t>文本数据的获取通过Python的requests库发送HTTP请求，结合BeautifulSoup库解析HTML页面完成。爬取目标为东方财富网财经频道的新闻列表页面，从中提取长度在10到80个字符之间的新闻标题，去重后保留前80条作为文本数据集。同时爬取东方财富网首页的财经文章正文段落，筛选长度在15到200字符之间的有效段落，去重后保留前50段。爬取的文本数据分别保存为news_titles.txt和news_content.txt两个文件，供后续词云分析使用。</w:t>
      </w:r>
    </w:p>
    <w:p w14:paraId="072E1562">
      <w:pPr>
        <w:ind w:firstLine="480"/>
        <w:rPr>
          <w:rFonts w:hint="eastAsia"/>
        </w:rPr>
      </w:pPr>
      <w:r>
        <w:rPr>
          <w:rFonts w:hint="eastAsia"/>
        </w:rPr>
        <w:t>文本数据获取的核心代码如下：</w:t>
      </w:r>
    </w:p>
    <w:p w14:paraId="308F797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import requests, re</w:t>
      </w:r>
    </w:p>
    <w:p w14:paraId="7FC7413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from bs4 import BeautifulSoup</w:t>
      </w:r>
    </w:p>
    <w:p w14:paraId="6F36A5E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01CE62A6">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HEADERS = {'User-Agent': 'Mozilla/5.0 (Windows NT 10.0; Win64; x64)'}</w:t>
      </w:r>
    </w:p>
    <w:p w14:paraId="56B9363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url = 'https://finance.eastmoney.com/a/cywjh.html'</w:t>
      </w:r>
    </w:p>
    <w:p w14:paraId="3B999B1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resp = requests.get(url, headers=HEADERS, timeout=15)</w:t>
      </w:r>
    </w:p>
    <w:p w14:paraId="1DB3A96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resp.encoding = resp.apparent_encoding</w:t>
      </w:r>
    </w:p>
    <w:p w14:paraId="086B129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soup = BeautifulSoup(resp.text, 'html.parser')</w:t>
      </w:r>
    </w:p>
    <w:p w14:paraId="7814BDB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titles = []</w:t>
      </w:r>
    </w:p>
    <w:p w14:paraId="4023449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for a in soup.select('a'):</w:t>
      </w:r>
    </w:p>
    <w:p w14:paraId="602CDC49">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text = a.get_text(strip=True)</w:t>
      </w:r>
    </w:p>
    <w:p w14:paraId="3A8A85C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if 10 &lt; len(text) &lt; 80:</w:t>
      </w:r>
    </w:p>
    <w:p w14:paraId="41D467A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titles.append(text)</w:t>
      </w:r>
    </w:p>
    <w:p w14:paraId="479AE3B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titles = list(dict.fromkeys(titles))[:80]</w:t>
      </w:r>
    </w:p>
    <w:p w14:paraId="0C4F1EC4">
      <w:pPr>
        <w:pStyle w:val="2"/>
        <w:spacing w:before="120"/>
      </w:pPr>
      <w:bookmarkStart w:id="20" w:name="heading_16"/>
      <w:bookmarkStart w:id="21" w:name="_Toc12551"/>
      <w:r>
        <w:rPr>
          <w:rFonts w:hint="eastAsia"/>
        </w:rPr>
        <w:t>3</w:t>
      </w:r>
      <w:r>
        <w:t>. 数据可视化分析</w:t>
      </w:r>
      <w:bookmarkEnd w:id="20"/>
      <w:bookmarkEnd w:id="21"/>
    </w:p>
    <w:p w14:paraId="04D1ADE4">
      <w:pPr>
        <w:ind w:firstLine="480"/>
      </w:pPr>
      <w:r>
        <w:rPr>
          <w:rFonts w:hint="eastAsia"/>
        </w:rPr>
        <w:t>为了全面展示A股市场的整体特征和贵州茅台的个股表现，本研究使用matplotlib库生成了10种不同类型的可视化图表，从多个维度进行分析。</w:t>
      </w:r>
    </w:p>
    <w:p w14:paraId="0AE6ED9F">
      <w:pPr>
        <w:pStyle w:val="3"/>
        <w:spacing w:before="120"/>
        <w:rPr>
          <w:rFonts w:hint="default" w:eastAsiaTheme="majorEastAsia"/>
          <w:lang w:val="en-US" w:eastAsia="zh-CN"/>
        </w:rPr>
      </w:pPr>
      <w:bookmarkStart w:id="22" w:name="heading_17"/>
      <w:bookmarkStart w:id="23" w:name="_Toc22277"/>
      <w:r>
        <w:t xml:space="preserve">3.1 </w:t>
      </w:r>
      <w:bookmarkEnd w:id="22"/>
      <w:r>
        <w:rPr>
          <w:rFonts w:hint="eastAsia"/>
          <w:lang w:val="en-US" w:eastAsia="zh-CN"/>
        </w:rPr>
        <w:t>行业与地区分布分析</w:t>
      </w:r>
      <w:bookmarkEnd w:id="23"/>
    </w:p>
    <w:p w14:paraId="0A8FEFEC">
      <w:pPr>
        <w:ind w:firstLine="480"/>
      </w:pPr>
      <w:r>
        <w:rPr>
          <w:rFonts w:hint="eastAsia"/>
        </w:rPr>
        <w:t>首先对A股上市公司的行业分布进行统计分析。如图1所示，化工、电子元件、软件服务等行业的上市公司数量位居前列，反映了当前A股市场的产业结构特征。化工行业上市公司最多，体现了中国作为制造业大国的产业基础。</w:t>
      </w:r>
    </w:p>
    <w:p w14:paraId="2EB6F21E">
      <w:pPr>
        <w:spacing w:before="120" w:after="40"/>
        <w:jc w:val="center"/>
      </w:pPr>
      <w:r>
        <w:drawing>
          <wp:inline distT="0" distB="0" distL="114300" distR="114300">
            <wp:extent cx="5039995" cy="3023870"/>
            <wp:effectExtent l="0" t="0" r="8255"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3"/>
                    <a:stretch>
                      <a:fillRect/>
                    </a:stretch>
                  </pic:blipFill>
                  <pic:spPr>
                    <a:xfrm>
                      <a:off x="0" y="0"/>
                      <a:ext cx="5040000" cy="3024000"/>
                    </a:xfrm>
                    <a:prstGeom prst="rect">
                      <a:avLst/>
                    </a:prstGeom>
                  </pic:spPr>
                </pic:pic>
              </a:graphicData>
            </a:graphic>
          </wp:inline>
        </w:drawing>
      </w:r>
    </w:p>
    <w:p w14:paraId="7029947F">
      <w:pPr>
        <w:spacing w:before="40" w:after="120"/>
        <w:jc w:val="center"/>
        <w:rPr>
          <w:rFonts w:hint="eastAsia" w:ascii="楷体" w:hAnsi="楷体" w:eastAsia="楷体" w:cs="楷体"/>
          <w:sz w:val="21"/>
          <w:szCs w:val="21"/>
        </w:rPr>
      </w:pPr>
      <w:r>
        <w:rPr>
          <w:rFonts w:hint="eastAsia" w:ascii="楷体" w:hAnsi="楷体" w:eastAsia="楷体" w:cs="楷体"/>
          <w:b w:val="0"/>
          <w:sz w:val="21"/>
          <w:szCs w:val="21"/>
        </w:rPr>
        <w:t>图1 各行业上市公司数量</w:t>
      </w:r>
      <w:r>
        <w:rPr>
          <w:rFonts w:hint="default" w:ascii="Times New Roman" w:hAnsi="Times New Roman" w:eastAsia="楷体" w:cs="Times New Roman"/>
          <w:b w:val="0"/>
          <w:sz w:val="21"/>
          <w:szCs w:val="21"/>
        </w:rPr>
        <w:t>TOP15</w:t>
      </w:r>
    </w:p>
    <w:p w14:paraId="4509482F">
      <w:pPr>
        <w:ind w:firstLine="480"/>
        <w:rPr>
          <w:rFonts w:hint="eastAsia"/>
          <w:lang w:eastAsia="zh-CN"/>
        </w:rPr>
      </w:pPr>
      <w:r>
        <w:rPr>
          <w:rFonts w:hint="eastAsia"/>
          <w:lang w:eastAsia="zh-CN"/>
        </w:rPr>
        <w:t>如图2所示，从地域分布来看，广东、浙江、江苏、北京、上海等经济发达地区的上市公司数量明显领先，这与各地区的经济发展水平和产业聚集程度密切相关。广东省以超过700家上市公司位居首位，浙江和江苏紧随其后。</w:t>
      </w:r>
    </w:p>
    <w:p w14:paraId="6F44275B">
      <w:pPr>
        <w:spacing w:before="120" w:after="40"/>
        <w:jc w:val="center"/>
      </w:pPr>
      <w:r>
        <w:drawing>
          <wp:inline distT="0" distB="0" distL="114300" distR="114300">
            <wp:extent cx="5039995" cy="3023870"/>
            <wp:effectExtent l="0" t="0" r="8255"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4"/>
                    <a:stretch>
                      <a:fillRect/>
                    </a:stretch>
                  </pic:blipFill>
                  <pic:spPr>
                    <a:xfrm>
                      <a:off x="0" y="0"/>
                      <a:ext cx="5040000" cy="3024000"/>
                    </a:xfrm>
                    <a:prstGeom prst="rect">
                      <a:avLst/>
                    </a:prstGeom>
                  </pic:spPr>
                </pic:pic>
              </a:graphicData>
            </a:graphic>
          </wp:inline>
        </w:drawing>
      </w:r>
    </w:p>
    <w:p w14:paraId="462004BC">
      <w:pPr>
        <w:spacing w:before="40" w:after="120"/>
        <w:jc w:val="center"/>
        <w:rPr>
          <w:rFonts w:hint="eastAsia" w:ascii="楷体" w:hAnsi="楷体" w:eastAsia="楷体" w:cs="楷体"/>
          <w:sz w:val="21"/>
          <w:szCs w:val="21"/>
        </w:rPr>
      </w:pPr>
      <w:r>
        <w:rPr>
          <w:rFonts w:hint="eastAsia" w:ascii="楷体" w:hAnsi="楷体" w:eastAsia="楷体" w:cs="楷体"/>
          <w:b w:val="0"/>
          <w:sz w:val="21"/>
          <w:szCs w:val="21"/>
        </w:rPr>
        <w:t>图2 各省市上市公司数量</w:t>
      </w:r>
      <w:r>
        <w:rPr>
          <w:rFonts w:hint="default" w:ascii="Times New Roman" w:hAnsi="Times New Roman" w:eastAsia="楷体" w:cs="Times New Roman"/>
          <w:b w:val="0"/>
          <w:sz w:val="21"/>
          <w:szCs w:val="21"/>
        </w:rPr>
        <w:t>TOP15</w:t>
      </w:r>
    </w:p>
    <w:p w14:paraId="7DA498ED">
      <w:pPr>
        <w:ind w:firstLine="480"/>
        <w:rPr>
          <w:rFonts w:hint="eastAsia"/>
          <w:lang w:eastAsia="zh-CN"/>
        </w:rPr>
      </w:pPr>
    </w:p>
    <w:p w14:paraId="41053582">
      <w:pPr>
        <w:pStyle w:val="3"/>
        <w:spacing w:before="120"/>
        <w:rPr>
          <w:rFonts w:hint="default" w:eastAsiaTheme="majorEastAsia"/>
          <w:lang w:val="en-US" w:eastAsia="zh-CN"/>
        </w:rPr>
      </w:pPr>
      <w:bookmarkStart w:id="24" w:name="heading_18"/>
      <w:bookmarkStart w:id="25" w:name="_Toc23270"/>
      <w:r>
        <w:t xml:space="preserve">3.2 </w:t>
      </w:r>
      <w:bookmarkEnd w:id="24"/>
      <w:r>
        <w:rPr>
          <w:rFonts w:hint="eastAsia"/>
          <w:lang w:val="en-US" w:eastAsia="zh-CN"/>
        </w:rPr>
        <w:t>股价走势分析</w:t>
      </w:r>
      <w:bookmarkEnd w:id="25"/>
    </w:p>
    <w:p w14:paraId="46E0E651">
      <w:pPr>
        <w:ind w:firstLine="480"/>
        <w:rPr>
          <w:rFonts w:hint="eastAsia"/>
        </w:rPr>
      </w:pPr>
      <w:r>
        <w:rPr>
          <w:rFonts w:hint="eastAsia"/>
        </w:rPr>
        <w:t>如图3所示，贵州茅台2023年至2025年的收盘价走势呈现出明显的波动特征。从整体趋势来看，股价在2023年初至2024年间经历了较大幅度的调整，随后逐步企稳回升。红色区域填充直观地展现了价格的波动区间。</w:t>
      </w:r>
    </w:p>
    <w:p w14:paraId="1AD00FAA">
      <w:pPr>
        <w:spacing w:before="120" w:after="40"/>
        <w:jc w:val="center"/>
      </w:pPr>
      <w:r>
        <w:drawing>
          <wp:inline distT="0" distB="0" distL="114300" distR="114300">
            <wp:extent cx="5039995" cy="2099945"/>
            <wp:effectExtent l="0" t="0" r="8255"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a:stretch>
                      <a:fillRect/>
                    </a:stretch>
                  </pic:blipFill>
                  <pic:spPr>
                    <a:xfrm>
                      <a:off x="0" y="0"/>
                      <a:ext cx="5040000" cy="2100000"/>
                    </a:xfrm>
                    <a:prstGeom prst="rect">
                      <a:avLst/>
                    </a:prstGeom>
                  </pic:spPr>
                </pic:pic>
              </a:graphicData>
            </a:graphic>
          </wp:inline>
        </w:drawing>
      </w:r>
    </w:p>
    <w:p w14:paraId="53F6991E">
      <w:pPr>
        <w:spacing w:before="40" w:after="120"/>
        <w:jc w:val="center"/>
        <w:rPr>
          <w:rFonts w:hint="eastAsia" w:ascii="楷体" w:hAnsi="楷体" w:eastAsia="楷体" w:cs="楷体"/>
          <w:sz w:val="21"/>
          <w:szCs w:val="21"/>
        </w:rPr>
      </w:pPr>
      <w:r>
        <w:rPr>
          <w:rFonts w:hint="eastAsia" w:ascii="楷体" w:hAnsi="楷体" w:eastAsia="楷体" w:cs="楷体"/>
          <w:b w:val="0"/>
          <w:sz w:val="21"/>
          <w:szCs w:val="21"/>
        </w:rPr>
        <w:t>图3 贵州茅台收盘价走势</w:t>
      </w:r>
    </w:p>
    <w:p w14:paraId="7AE360A2">
      <w:pPr>
        <w:ind w:firstLine="480"/>
        <w:rPr>
          <w:rFonts w:hint="eastAsia"/>
          <w:lang w:eastAsia="zh-CN"/>
        </w:rPr>
      </w:pPr>
      <w:r>
        <w:rPr>
          <w:rFonts w:hint="eastAsia"/>
          <w:lang w:eastAsia="zh-CN"/>
        </w:rPr>
        <w:t>如图4所示，散点图展示了贵州茅台成交量与涨跌幅之间的关系。红色散点表示当日上涨，绿色散点表示当日下跌。从散点分布可以观察到，涨跌幅主要集中在正负3%以内，偶有较大波动。成交量较大的交易日往往对应着较大的涨跌幅，体现了量价之间的正相关关系。</w:t>
      </w:r>
    </w:p>
    <w:p w14:paraId="70FF0619">
      <w:pPr>
        <w:spacing w:before="120" w:after="40"/>
        <w:jc w:val="center"/>
      </w:pPr>
      <w:r>
        <w:drawing>
          <wp:inline distT="0" distB="0" distL="114300" distR="114300">
            <wp:extent cx="5039995" cy="3023870"/>
            <wp:effectExtent l="0" t="0" r="8255" b="508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a:stretch>
                      <a:fillRect/>
                    </a:stretch>
                  </pic:blipFill>
                  <pic:spPr>
                    <a:xfrm>
                      <a:off x="0" y="0"/>
                      <a:ext cx="5040000" cy="3024000"/>
                    </a:xfrm>
                    <a:prstGeom prst="rect">
                      <a:avLst/>
                    </a:prstGeom>
                  </pic:spPr>
                </pic:pic>
              </a:graphicData>
            </a:graphic>
          </wp:inline>
        </w:drawing>
      </w:r>
    </w:p>
    <w:p w14:paraId="1E77D8E3">
      <w:pPr>
        <w:spacing w:before="40" w:after="120"/>
        <w:jc w:val="center"/>
        <w:rPr>
          <w:rFonts w:hint="eastAsia" w:ascii="楷体" w:hAnsi="楷体" w:eastAsia="楷体" w:cs="楷体"/>
          <w:sz w:val="21"/>
          <w:szCs w:val="21"/>
        </w:rPr>
      </w:pPr>
      <w:r>
        <w:rPr>
          <w:rFonts w:hint="eastAsia" w:ascii="楷体" w:hAnsi="楷体" w:eastAsia="楷体" w:cs="楷体"/>
          <w:b w:val="0"/>
          <w:sz w:val="21"/>
          <w:szCs w:val="21"/>
        </w:rPr>
        <w:t>图4 成交量与涨跌幅关系</w:t>
      </w:r>
    </w:p>
    <w:p w14:paraId="5167EF75">
      <w:pPr>
        <w:ind w:firstLine="480"/>
        <w:rPr>
          <w:rFonts w:hint="eastAsia"/>
          <w:lang w:eastAsia="zh-CN"/>
        </w:rPr>
      </w:pPr>
    </w:p>
    <w:p w14:paraId="68A40167">
      <w:pPr>
        <w:pStyle w:val="3"/>
        <w:spacing w:before="120"/>
        <w:rPr>
          <w:rFonts w:hint="default" w:eastAsiaTheme="majorEastAsia"/>
          <w:lang w:val="en-US" w:eastAsia="zh-CN"/>
        </w:rPr>
      </w:pPr>
      <w:bookmarkStart w:id="26" w:name="heading_19"/>
      <w:bookmarkStart w:id="27" w:name="_Toc23272"/>
      <w:r>
        <w:t xml:space="preserve">3.3 </w:t>
      </w:r>
      <w:bookmarkEnd w:id="26"/>
      <w:r>
        <w:rPr>
          <w:rFonts w:hint="eastAsia"/>
          <w:lang w:val="en-US" w:eastAsia="zh-CN"/>
        </w:rPr>
        <w:t>板块与行业结构分析</w:t>
      </w:r>
      <w:bookmarkEnd w:id="27"/>
    </w:p>
    <w:p w14:paraId="08FD1748">
      <w:pPr>
        <w:ind w:firstLine="480"/>
        <w:rPr>
          <w:rFonts w:hint="eastAsia"/>
        </w:rPr>
      </w:pPr>
      <w:r>
        <w:rPr>
          <w:rFonts w:hint="eastAsia"/>
        </w:rPr>
        <w:t>如图5所示，饼图展示了A股上市公司在不同板块的分布情况。主板上市公司占据了较大比例，创业板和科创板的上市公司数量也在持续增长，反映了资本市场多层次建设的成效。</w:t>
      </w:r>
    </w:p>
    <w:p w14:paraId="03283888">
      <w:pPr>
        <w:spacing w:before="120" w:after="40"/>
        <w:jc w:val="center"/>
      </w:pPr>
      <w:r>
        <w:drawing>
          <wp:inline distT="0" distB="0" distL="114300" distR="114300">
            <wp:extent cx="5039995" cy="5039995"/>
            <wp:effectExtent l="0" t="0" r="8255" b="825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a:stretch>
                      <a:fillRect/>
                    </a:stretch>
                  </pic:blipFill>
                  <pic:spPr>
                    <a:xfrm>
                      <a:off x="0" y="0"/>
                      <a:ext cx="5040000" cy="5040000"/>
                    </a:xfrm>
                    <a:prstGeom prst="rect">
                      <a:avLst/>
                    </a:prstGeom>
                  </pic:spPr>
                </pic:pic>
              </a:graphicData>
            </a:graphic>
          </wp:inline>
        </w:drawing>
      </w:r>
    </w:p>
    <w:p w14:paraId="3C2EF69D">
      <w:pPr>
        <w:spacing w:before="40" w:after="120"/>
        <w:jc w:val="center"/>
        <w:rPr>
          <w:rFonts w:hint="eastAsia" w:ascii="楷体" w:hAnsi="楷体" w:eastAsia="楷体" w:cs="楷体"/>
          <w:sz w:val="21"/>
          <w:szCs w:val="21"/>
        </w:rPr>
      </w:pPr>
      <w:r>
        <w:rPr>
          <w:rFonts w:hint="eastAsia" w:ascii="楷体" w:hAnsi="楷体" w:eastAsia="楷体" w:cs="楷体"/>
          <w:b w:val="0"/>
          <w:sz w:val="21"/>
          <w:szCs w:val="21"/>
        </w:rPr>
        <w:t>图5 上市公司板块分布</w:t>
      </w:r>
    </w:p>
    <w:p w14:paraId="4B6A74F2">
      <w:pPr>
        <w:ind w:firstLine="480"/>
        <w:rPr>
          <w:rFonts w:hint="eastAsia"/>
        </w:rPr>
      </w:pPr>
      <w:r>
        <w:rPr>
          <w:rFonts w:hint="eastAsia"/>
        </w:rPr>
        <w:t>如图6所示，环形图进一步展示了行业分布的集中度。排名前五的行业合计占总上市公司数量的一定比例，其余行业则较为分散，说明A股市场的行业分布既有集中性又有广泛性。</w:t>
      </w:r>
    </w:p>
    <w:p w14:paraId="579C6DA4">
      <w:pPr>
        <w:spacing w:before="120" w:after="40"/>
        <w:jc w:val="center"/>
      </w:pPr>
      <w:r>
        <w:drawing>
          <wp:inline distT="0" distB="0" distL="114300" distR="114300">
            <wp:extent cx="5039995" cy="5039995"/>
            <wp:effectExtent l="0" t="0" r="8255" b="8255"/>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8"/>
                    <a:stretch>
                      <a:fillRect/>
                    </a:stretch>
                  </pic:blipFill>
                  <pic:spPr>
                    <a:xfrm>
                      <a:off x="0" y="0"/>
                      <a:ext cx="5040000" cy="5040000"/>
                    </a:xfrm>
                    <a:prstGeom prst="rect">
                      <a:avLst/>
                    </a:prstGeom>
                  </pic:spPr>
                </pic:pic>
              </a:graphicData>
            </a:graphic>
          </wp:inline>
        </w:drawing>
      </w:r>
    </w:p>
    <w:p w14:paraId="0B5FFAC2">
      <w:pPr>
        <w:spacing w:before="40" w:after="120"/>
        <w:jc w:val="center"/>
        <w:rPr>
          <w:rFonts w:hint="eastAsia" w:ascii="楷体" w:hAnsi="楷体" w:eastAsia="楷体" w:cs="楷体"/>
          <w:sz w:val="21"/>
          <w:szCs w:val="21"/>
        </w:rPr>
      </w:pPr>
      <w:r>
        <w:rPr>
          <w:rFonts w:hint="eastAsia" w:ascii="楷体" w:hAnsi="楷体" w:eastAsia="楷体" w:cs="楷体"/>
          <w:b w:val="0"/>
          <w:sz w:val="21"/>
          <w:szCs w:val="21"/>
        </w:rPr>
        <w:t>图6 行业分布TOP5占比</w:t>
      </w:r>
    </w:p>
    <w:p w14:paraId="2602B1B1">
      <w:pPr>
        <w:pStyle w:val="3"/>
        <w:spacing w:before="120"/>
        <w:rPr>
          <w:rFonts w:hint="default" w:eastAsiaTheme="majorEastAsia"/>
          <w:lang w:val="en-US" w:eastAsia="zh-CN"/>
        </w:rPr>
      </w:pPr>
      <w:bookmarkStart w:id="28" w:name="heading_20"/>
      <w:bookmarkStart w:id="29" w:name="_Toc12392"/>
      <w:r>
        <w:t xml:space="preserve">3.4 </w:t>
      </w:r>
      <w:bookmarkEnd w:id="28"/>
      <w:r>
        <w:rPr>
          <w:rFonts w:hint="eastAsia"/>
          <w:lang w:val="en-US" w:eastAsia="zh-CN"/>
        </w:rPr>
        <w:t>时间序列与技术分析</w:t>
      </w:r>
      <w:bookmarkEnd w:id="29"/>
    </w:p>
    <w:p w14:paraId="4BE6A82F">
      <w:pPr>
        <w:ind w:firstLine="480"/>
        <w:rPr>
          <w:rFonts w:hint="eastAsia"/>
        </w:rPr>
      </w:pPr>
      <w:r>
        <w:rPr>
          <w:rFonts w:hint="eastAsia"/>
        </w:rPr>
        <w:t>如图7所示，时间序列图将贵州茅台的收盘价与5日、20日、60日移动均线叠加展示，同时在副轴上绘制了成交量柱状图。从均线走势可以看出，短期均线围绕价格上下波动，长期均线则较为平滑，能够反映中长期趋势。当短期均线上穿长期均线时形成金叉信号，下穿时形成死叉信号，这些技术指标对投资决策具有一定参考价值。</w:t>
      </w:r>
    </w:p>
    <w:p w14:paraId="7B584144">
      <w:pPr>
        <w:spacing w:before="120" w:after="40"/>
        <w:jc w:val="center"/>
      </w:pPr>
      <w:r>
        <w:drawing>
          <wp:inline distT="0" distB="0" distL="114300" distR="114300">
            <wp:extent cx="5039995" cy="2519680"/>
            <wp:effectExtent l="0" t="0" r="8255" b="444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9"/>
                    <a:stretch>
                      <a:fillRect/>
                    </a:stretch>
                  </pic:blipFill>
                  <pic:spPr>
                    <a:xfrm>
                      <a:off x="0" y="0"/>
                      <a:ext cx="5040000" cy="2520000"/>
                    </a:xfrm>
                    <a:prstGeom prst="rect">
                      <a:avLst/>
                    </a:prstGeom>
                  </pic:spPr>
                </pic:pic>
              </a:graphicData>
            </a:graphic>
          </wp:inline>
        </w:drawing>
      </w:r>
    </w:p>
    <w:p w14:paraId="2494BF0B">
      <w:pPr>
        <w:spacing w:before="40" w:after="120"/>
        <w:jc w:val="center"/>
        <w:rPr>
          <w:rFonts w:hint="eastAsia" w:ascii="楷体" w:hAnsi="楷体" w:eastAsia="楷体" w:cs="楷体"/>
          <w:sz w:val="21"/>
          <w:szCs w:val="21"/>
        </w:rPr>
      </w:pPr>
      <w:r>
        <w:rPr>
          <w:rFonts w:hint="eastAsia" w:ascii="楷体" w:hAnsi="楷体" w:eastAsia="楷体" w:cs="楷体"/>
          <w:b w:val="0"/>
          <w:sz w:val="21"/>
          <w:szCs w:val="21"/>
        </w:rPr>
        <w:t>图7 股价与均线时间序列图</w:t>
      </w:r>
    </w:p>
    <w:p w14:paraId="75B3E1A4">
      <w:pPr>
        <w:pStyle w:val="3"/>
        <w:spacing w:before="120"/>
        <w:rPr>
          <w:rFonts w:hint="eastAsia" w:eastAsiaTheme="majorEastAsia"/>
          <w:lang w:val="en-US" w:eastAsia="zh-CN"/>
        </w:rPr>
      </w:pPr>
      <w:bookmarkStart w:id="30" w:name="heading_21"/>
      <w:bookmarkStart w:id="31" w:name="_Toc1542"/>
      <w:r>
        <w:t xml:space="preserve">3.5 </w:t>
      </w:r>
      <w:bookmarkEnd w:id="30"/>
      <w:r>
        <w:rPr>
          <w:rFonts w:hint="eastAsia"/>
          <w:lang w:val="en-US" w:eastAsia="zh-CN"/>
        </w:rPr>
        <w:t>地理空间分布</w:t>
      </w:r>
      <w:bookmarkEnd w:id="31"/>
    </w:p>
    <w:p w14:paraId="289DA27C">
      <w:pPr>
        <w:ind w:firstLine="480"/>
      </w:pPr>
      <w:r>
        <w:rPr>
          <w:rFonts w:hint="eastAsia"/>
        </w:rPr>
        <w:t>如图8所示，地理空间图以经纬度为坐标，用气泡大小表示各省市上市公司数量的多少。东部沿海地区的气泡明显较大，呈现出从东南沿海向西北内陆递减的分布格局，这与中国区域经济发展的梯度特征高度吻合。长三角、珠三角和京津冀三大经济圈集中了全国大部分的上市公司。</w:t>
      </w:r>
    </w:p>
    <w:p w14:paraId="206D997A">
      <w:pPr>
        <w:spacing w:before="120" w:after="40"/>
        <w:jc w:val="center"/>
      </w:pPr>
      <w:r>
        <w:drawing>
          <wp:inline distT="0" distB="0" distL="114300" distR="114300">
            <wp:extent cx="5039995" cy="3359785"/>
            <wp:effectExtent l="0" t="0" r="8255" b="254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pic:cNvPicPr>
                  </pic:nvPicPr>
                  <pic:blipFill>
                    <a:blip r:embed="rId20"/>
                    <a:stretch>
                      <a:fillRect/>
                    </a:stretch>
                  </pic:blipFill>
                  <pic:spPr>
                    <a:xfrm>
                      <a:off x="0" y="0"/>
                      <a:ext cx="5040000" cy="3360000"/>
                    </a:xfrm>
                    <a:prstGeom prst="rect">
                      <a:avLst/>
                    </a:prstGeom>
                  </pic:spPr>
                </pic:pic>
              </a:graphicData>
            </a:graphic>
          </wp:inline>
        </w:drawing>
      </w:r>
    </w:p>
    <w:p w14:paraId="7F7B478A">
      <w:pPr>
        <w:spacing w:before="40" w:after="120"/>
        <w:jc w:val="center"/>
        <w:rPr>
          <w:rFonts w:hint="eastAsia" w:ascii="楷体" w:hAnsi="楷体" w:eastAsia="楷体" w:cs="楷体"/>
          <w:sz w:val="21"/>
          <w:szCs w:val="21"/>
        </w:rPr>
      </w:pPr>
      <w:r>
        <w:rPr>
          <w:rFonts w:hint="eastAsia" w:ascii="楷体" w:hAnsi="楷体" w:eastAsia="楷体" w:cs="楷体"/>
          <w:b w:val="0"/>
          <w:sz w:val="21"/>
          <w:szCs w:val="21"/>
        </w:rPr>
        <w:t>图8 各省市上市公司地理分布</w:t>
      </w:r>
    </w:p>
    <w:p w14:paraId="32B25EA7">
      <w:pPr>
        <w:pStyle w:val="3"/>
        <w:spacing w:before="120"/>
        <w:rPr>
          <w:rFonts w:hint="default" w:eastAsiaTheme="majorEastAsia"/>
          <w:lang w:val="en-US" w:eastAsia="zh-CN"/>
        </w:rPr>
      </w:pPr>
      <w:bookmarkStart w:id="32" w:name="heading_22"/>
      <w:bookmarkStart w:id="33" w:name="_Toc16065"/>
      <w:r>
        <w:t xml:space="preserve">3.6 </w:t>
      </w:r>
      <w:bookmarkEnd w:id="32"/>
      <w:r>
        <w:rPr>
          <w:rFonts w:hint="eastAsia"/>
          <w:lang w:val="en-US" w:eastAsia="zh-CN"/>
        </w:rPr>
        <w:t>动态可视化与词云分析</w:t>
      </w:r>
      <w:bookmarkEnd w:id="33"/>
    </w:p>
    <w:p w14:paraId="48D54DF4">
      <w:pPr>
        <w:ind w:firstLine="480"/>
      </w:pPr>
      <w:r>
        <w:rPr>
          <w:rFonts w:hint="eastAsia"/>
        </w:rPr>
        <w:t>如图9所示，动态可视化图以GIF动画的形式展示了贵州茅台近120个交易日的股价变化过程，通过逐帧绘制收盘价曲线，直观呈现了股价的日间波动轨迹。图中红色圆点标注了最新价格位置，使得价格变化趋势一目了然。</w:t>
      </w:r>
    </w:p>
    <w:p w14:paraId="3ADC0D86">
      <w:pPr>
        <w:spacing w:before="120" w:after="40"/>
        <w:jc w:val="center"/>
      </w:pPr>
      <w:r>
        <w:drawing>
          <wp:inline distT="0" distB="0" distL="114300" distR="114300">
            <wp:extent cx="5273040" cy="2874645"/>
            <wp:effectExtent l="0" t="0" r="3810" b="190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5273040" cy="2874645"/>
                    </a:xfrm>
                    <a:prstGeom prst="rect">
                      <a:avLst/>
                    </a:prstGeom>
                    <a:noFill/>
                    <a:ln>
                      <a:noFill/>
                    </a:ln>
                  </pic:spPr>
                </pic:pic>
              </a:graphicData>
            </a:graphic>
          </wp:inline>
        </w:drawing>
      </w:r>
    </w:p>
    <w:p w14:paraId="7A965036">
      <w:pPr>
        <w:spacing w:before="40" w:after="120"/>
        <w:jc w:val="center"/>
        <w:rPr>
          <w:rFonts w:hint="eastAsia" w:ascii="楷体" w:hAnsi="楷体" w:eastAsia="楷体" w:cs="楷体"/>
          <w:sz w:val="21"/>
          <w:szCs w:val="21"/>
        </w:rPr>
      </w:pPr>
      <w:r>
        <w:rPr>
          <w:rFonts w:hint="eastAsia" w:ascii="楷体" w:hAnsi="楷体" w:eastAsia="楷体" w:cs="楷体"/>
          <w:b w:val="0"/>
          <w:sz w:val="21"/>
          <w:szCs w:val="21"/>
        </w:rPr>
        <w:t>图9 股价变化动态图</w:t>
      </w:r>
    </w:p>
    <w:p w14:paraId="0CE6D1C5">
      <w:pPr>
        <w:ind w:firstLine="480"/>
        <w:rPr>
          <w:rFonts w:hint="eastAsia"/>
        </w:rPr>
      </w:pPr>
      <w:r>
        <w:rPr>
          <w:rFonts w:hint="eastAsia"/>
        </w:rPr>
        <w:t>如图10所示，词云图基于从东方财富网爬取的财经新闻标题文本生成。使用jieba分词工具对新闻标题进行中文分词处理，过滤停用词后生成关键词词云。从词云中可以直观看出当前财经领域的热点话题和关键词汇，字体越大表示该关键词出现频率越高。</w:t>
      </w:r>
    </w:p>
    <w:p w14:paraId="3FF44687">
      <w:pPr>
        <w:spacing w:before="120" w:after="40"/>
        <w:jc w:val="center"/>
      </w:pPr>
      <w:r>
        <w:drawing>
          <wp:inline distT="0" distB="0" distL="114300" distR="114300">
            <wp:extent cx="5039995" cy="2939415"/>
            <wp:effectExtent l="0" t="0" r="825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2"/>
                    <a:stretch>
                      <a:fillRect/>
                    </a:stretch>
                  </pic:blipFill>
                  <pic:spPr>
                    <a:xfrm>
                      <a:off x="0" y="0"/>
                      <a:ext cx="5040000" cy="2940000"/>
                    </a:xfrm>
                    <a:prstGeom prst="rect">
                      <a:avLst/>
                    </a:prstGeom>
                  </pic:spPr>
                </pic:pic>
              </a:graphicData>
            </a:graphic>
          </wp:inline>
        </w:drawing>
      </w:r>
    </w:p>
    <w:p w14:paraId="4F0DD753">
      <w:pPr>
        <w:spacing w:before="40" w:after="120"/>
        <w:jc w:val="center"/>
        <w:rPr>
          <w:rFonts w:hint="eastAsia" w:ascii="楷体" w:hAnsi="楷体" w:eastAsia="楷体" w:cs="楷体"/>
          <w:sz w:val="21"/>
          <w:szCs w:val="21"/>
        </w:rPr>
      </w:pPr>
      <w:r>
        <w:rPr>
          <w:rFonts w:hint="eastAsia" w:ascii="楷体" w:hAnsi="楷体" w:eastAsia="楷体" w:cs="楷体"/>
          <w:b w:val="0"/>
          <w:sz w:val="21"/>
          <w:szCs w:val="21"/>
        </w:rPr>
        <w:t>图10 财经新闻关键词词云</w:t>
      </w:r>
    </w:p>
    <w:p w14:paraId="043B766E">
      <w:pPr>
        <w:pStyle w:val="2"/>
        <w:spacing w:before="120"/>
        <w:rPr>
          <w:rFonts w:hint="eastAsia" w:eastAsiaTheme="minorEastAsia"/>
          <w:lang w:val="en-US" w:eastAsia="zh-CN"/>
        </w:rPr>
      </w:pPr>
      <w:bookmarkStart w:id="34" w:name="_Toc29695"/>
      <w:r>
        <w:t xml:space="preserve">4. </w:t>
      </w:r>
      <w:r>
        <w:rPr>
          <w:rFonts w:hint="eastAsia"/>
          <w:lang w:val="en-US" w:eastAsia="zh-CN"/>
        </w:rPr>
        <w:t>模型预测</w:t>
      </w:r>
      <w:bookmarkEnd w:id="34"/>
    </w:p>
    <w:p w14:paraId="1FFFFCF7">
      <w:pPr>
        <w:pStyle w:val="3"/>
        <w:spacing w:before="120"/>
        <w:rPr>
          <w:rFonts w:hint="default" w:eastAsiaTheme="majorEastAsia"/>
          <w:lang w:val="en-US" w:eastAsia="zh-CN"/>
        </w:rPr>
      </w:pPr>
      <w:bookmarkStart w:id="35" w:name="heading_1"/>
      <w:bookmarkStart w:id="36" w:name="_Toc20838"/>
      <w:r>
        <w:t xml:space="preserve">4.1 </w:t>
      </w:r>
      <w:bookmarkEnd w:id="35"/>
      <w:r>
        <w:rPr>
          <w:rFonts w:hint="eastAsia"/>
          <w:lang w:val="en-US" w:eastAsia="zh-CN"/>
        </w:rPr>
        <w:t>模型选择与原理</w:t>
      </w:r>
      <w:bookmarkEnd w:id="36"/>
    </w:p>
    <w:p w14:paraId="3448BC7B">
      <w:pPr>
        <w:ind w:firstLine="480"/>
      </w:pPr>
      <w:r>
        <w:rPr>
          <w:rFonts w:hint="eastAsia"/>
        </w:rPr>
        <w:t>本研究选用ARIMA模型进行股价预测。ARIMA全称为自回归积分滑动平均模型，是时间序列分析中经典且广泛使用的预测模型，适用于非平稳时间序列数据。ARIMA模型由三个参数定义，分别是自回归阶数p、差分阶数d和滑动平均阶数q。自回归部分利用时间序列自身的历史值进行回归，差分操作通过对序列求差分将非平稳序列转化为平稳序列，滑动平均部分则利用预测误差的滞后项来修正预测值。</w:t>
      </w:r>
    </w:p>
    <w:p w14:paraId="02EAAA9E">
      <w:pPr>
        <w:pStyle w:val="3"/>
        <w:spacing w:before="120"/>
        <w:rPr>
          <w:rFonts w:hint="eastAsia"/>
          <w:lang w:val="en-US" w:eastAsia="zh-CN"/>
        </w:rPr>
      </w:pPr>
      <w:bookmarkStart w:id="37" w:name="_Toc12162"/>
      <w:r>
        <w:t xml:space="preserve">4.2 </w:t>
      </w:r>
      <w:r>
        <w:rPr>
          <w:rFonts w:hint="eastAsia"/>
          <w:lang w:val="en-US" w:eastAsia="zh-CN"/>
        </w:rPr>
        <w:t>平稳性检验</w:t>
      </w:r>
      <w:bookmarkEnd w:id="37"/>
    </w:p>
    <w:p w14:paraId="5D0F8624">
      <w:pPr>
        <w:rPr>
          <w:rFonts w:hint="default"/>
          <w:lang w:val="en-US" w:eastAsia="zh-CN"/>
        </w:rPr>
      </w:pPr>
      <w:r>
        <w:rPr>
          <w:rFonts w:hint="eastAsia"/>
        </w:rPr>
        <w:t>在建模之前，需要对时间序列进行平稳性检验。本研究采用ADF检验来判断贵州茅台收盘价序列是否平稳。检验结果显示，ADF统计量为-1.7847，对应的p值为0.3881，远大于0.05的显著性水平，因此无法拒绝存在单位根的原假设，说明原始收盘价序列是非平稳的，需要进行一阶差分处理后再进行建模。</w:t>
      </w:r>
    </w:p>
    <w:p w14:paraId="5884B642">
      <w:pPr>
        <w:pStyle w:val="3"/>
        <w:spacing w:before="120"/>
        <w:rPr>
          <w:rFonts w:hint="default" w:eastAsiaTheme="majorEastAsia"/>
          <w:lang w:val="en-US" w:eastAsia="zh-CN"/>
        </w:rPr>
      </w:pPr>
      <w:bookmarkStart w:id="38" w:name="_Toc10539"/>
      <w:r>
        <w:t xml:space="preserve">4.3 </w:t>
      </w:r>
      <w:r>
        <w:rPr>
          <w:rFonts w:hint="eastAsia"/>
          <w:lang w:val="en-US" w:eastAsia="zh-CN"/>
        </w:rPr>
        <w:t>模型训练与评估</w:t>
      </w:r>
      <w:bookmarkEnd w:id="38"/>
    </w:p>
    <w:p w14:paraId="1F94D5CE">
      <w:pPr>
        <w:ind w:firstLine="480"/>
        <w:rPr>
          <w:rFonts w:hint="eastAsia"/>
        </w:rPr>
      </w:pPr>
      <w:r>
        <w:rPr>
          <w:rFonts w:hint="eastAsia"/>
        </w:rPr>
        <w:t>将数据集按照85%和15%的比例划分为训练集和测试集，训练集包含617条数据，测试集包含110条数据。基于训练集构建ARIMA(5,1,2)模型，模型的AIC值为5645.09，BIC值为5680.48。在测试集上的预测结果表明，模型的平均绝对误差MAE为29.52元，均方根误差RMSE为35.13元，平均绝对百分比误差MAPE为2.06%。MAPE值低于5%，说明模型具有较高的预测精度，能够较好地捕捉股价的变化趋势。</w:t>
      </w:r>
    </w:p>
    <w:p w14:paraId="59E13B4E">
      <w:pPr>
        <w:spacing w:before="120" w:after="80"/>
        <w:jc w:val="center"/>
        <w:rPr>
          <w:rFonts w:hint="eastAsia" w:ascii="楷体" w:hAnsi="楷体" w:eastAsia="楷体" w:cs="楷体"/>
          <w:sz w:val="21"/>
          <w:szCs w:val="21"/>
        </w:rPr>
      </w:pPr>
      <w:r>
        <w:rPr>
          <w:rFonts w:hint="eastAsia" w:ascii="楷体" w:hAnsi="楷体" w:eastAsia="楷体" w:cs="楷体"/>
          <w:b w:val="0"/>
          <w:sz w:val="21"/>
          <w:szCs w:val="21"/>
        </w:rPr>
        <w:t xml:space="preserve">表1 </w:t>
      </w:r>
      <w:r>
        <w:rPr>
          <w:rFonts w:hint="default" w:ascii="Times New Roman" w:hAnsi="Times New Roman" w:eastAsia="楷体" w:cs="Times New Roman"/>
          <w:b w:val="0"/>
          <w:sz w:val="21"/>
          <w:szCs w:val="21"/>
        </w:rPr>
        <w:t>ARIMA</w:t>
      </w:r>
      <w:r>
        <w:rPr>
          <w:rFonts w:hint="eastAsia" w:ascii="楷体" w:hAnsi="楷体" w:eastAsia="楷体" w:cs="楷体"/>
          <w:b w:val="0"/>
          <w:sz w:val="21"/>
          <w:szCs w:val="21"/>
        </w:rPr>
        <w:t>模型评估指标</w:t>
      </w:r>
    </w:p>
    <w:tbl>
      <w:tblPr>
        <w:tblStyle w:val="1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56"/>
        <w:gridCol w:w="4265"/>
      </w:tblGrid>
      <w:tr w14:paraId="2137A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4536" w:type="dxa"/>
          </w:tcPr>
          <w:p w14:paraId="240F8AE6">
            <w:pPr>
              <w:spacing w:after="0" w:line="360" w:lineRule="auto"/>
              <w:jc w:val="center"/>
            </w:pPr>
            <w:r>
              <w:rPr>
                <w:rFonts w:ascii="宋体" w:hAnsi="宋体" w:eastAsia="宋体"/>
                <w:b/>
                <w:sz w:val="21"/>
              </w:rPr>
              <w:t>指标</w:t>
            </w:r>
          </w:p>
        </w:tc>
        <w:tc>
          <w:tcPr>
            <w:tcW w:w="4536" w:type="dxa"/>
          </w:tcPr>
          <w:p w14:paraId="62A41437">
            <w:pPr>
              <w:spacing w:after="0" w:line="360" w:lineRule="auto"/>
              <w:jc w:val="center"/>
            </w:pPr>
            <w:r>
              <w:rPr>
                <w:rFonts w:ascii="宋体" w:hAnsi="宋体" w:eastAsia="宋体"/>
                <w:b/>
                <w:sz w:val="21"/>
              </w:rPr>
              <w:t>数值</w:t>
            </w:r>
          </w:p>
        </w:tc>
      </w:tr>
      <w:tr w14:paraId="16B58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Pr>
          <w:p w14:paraId="1F148A70">
            <w:pPr>
              <w:spacing w:after="0" w:line="360" w:lineRule="auto"/>
              <w:jc w:val="center"/>
            </w:pPr>
            <w:r>
              <w:rPr>
                <w:rFonts w:ascii="宋体" w:hAnsi="宋体" w:eastAsia="宋体"/>
                <w:b w:val="0"/>
                <w:sz w:val="21"/>
              </w:rPr>
              <w:t>MAE</w:t>
            </w:r>
          </w:p>
        </w:tc>
        <w:tc>
          <w:tcPr>
            <w:tcW w:w="4536" w:type="dxa"/>
          </w:tcPr>
          <w:p w14:paraId="0FDB1AE0">
            <w:pPr>
              <w:spacing w:after="0" w:line="360" w:lineRule="auto"/>
              <w:jc w:val="center"/>
            </w:pPr>
            <w:r>
              <w:rPr>
                <w:rFonts w:ascii="宋体" w:hAnsi="宋体" w:eastAsia="宋体"/>
                <w:b w:val="0"/>
                <w:sz w:val="21"/>
              </w:rPr>
              <w:t>29.52元</w:t>
            </w:r>
          </w:p>
        </w:tc>
      </w:tr>
      <w:tr w14:paraId="6185D5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Pr>
          <w:p w14:paraId="71F1A7B1">
            <w:pPr>
              <w:spacing w:after="0" w:line="360" w:lineRule="auto"/>
              <w:jc w:val="center"/>
            </w:pPr>
            <w:r>
              <w:rPr>
                <w:rFonts w:ascii="宋体" w:hAnsi="宋体" w:eastAsia="宋体"/>
                <w:b w:val="0"/>
                <w:sz w:val="21"/>
              </w:rPr>
              <w:t>RMSE</w:t>
            </w:r>
          </w:p>
        </w:tc>
        <w:tc>
          <w:tcPr>
            <w:tcW w:w="4536" w:type="dxa"/>
          </w:tcPr>
          <w:p w14:paraId="33CEF6A3">
            <w:pPr>
              <w:spacing w:after="0" w:line="360" w:lineRule="auto"/>
              <w:jc w:val="center"/>
            </w:pPr>
            <w:r>
              <w:rPr>
                <w:rFonts w:ascii="宋体" w:hAnsi="宋体" w:eastAsia="宋体"/>
                <w:b w:val="0"/>
                <w:sz w:val="21"/>
              </w:rPr>
              <w:t>35.13元</w:t>
            </w:r>
          </w:p>
        </w:tc>
      </w:tr>
      <w:tr w14:paraId="552EA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536" w:type="dxa"/>
          </w:tcPr>
          <w:p w14:paraId="2AEB1EBA">
            <w:pPr>
              <w:spacing w:after="0" w:line="360" w:lineRule="auto"/>
              <w:jc w:val="center"/>
            </w:pPr>
            <w:r>
              <w:rPr>
                <w:rFonts w:ascii="宋体" w:hAnsi="宋体" w:eastAsia="宋体"/>
                <w:b w:val="0"/>
                <w:sz w:val="21"/>
              </w:rPr>
              <w:t>MAPE</w:t>
            </w:r>
          </w:p>
        </w:tc>
        <w:tc>
          <w:tcPr>
            <w:tcW w:w="4536" w:type="dxa"/>
          </w:tcPr>
          <w:p w14:paraId="78EAC6CC">
            <w:pPr>
              <w:spacing w:after="0" w:line="360" w:lineRule="auto"/>
              <w:jc w:val="center"/>
            </w:pPr>
            <w:r>
              <w:rPr>
                <w:rFonts w:ascii="宋体" w:hAnsi="宋体" w:eastAsia="宋体"/>
                <w:b w:val="0"/>
                <w:sz w:val="21"/>
              </w:rPr>
              <w:t>2.06%</w:t>
            </w:r>
          </w:p>
        </w:tc>
      </w:tr>
    </w:tbl>
    <w:p w14:paraId="499B229F">
      <w:pPr>
        <w:ind w:firstLine="480"/>
      </w:pPr>
      <w:r>
        <w:rPr>
          <w:rFonts w:hint="eastAsia"/>
        </w:rPr>
        <w:t>如图11所示，蓝色曲线为训练集数据，绿色曲线为测试集的真实值，红色虚线为ARIMA模型的预测值。从图中可以看出，预测值与真实值的走势基本一致，在大部分时间段内能够较好地跟踪实际股价的变化方向。</w:t>
      </w:r>
    </w:p>
    <w:p w14:paraId="461CE8A2">
      <w:pPr>
        <w:spacing w:before="120" w:after="40"/>
        <w:jc w:val="center"/>
      </w:pPr>
      <w:r>
        <w:drawing>
          <wp:inline distT="0" distB="0" distL="114300" distR="114300">
            <wp:extent cx="5039995" cy="2159635"/>
            <wp:effectExtent l="0" t="0" r="8255" b="254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a:blip r:embed="rId23"/>
                    <a:stretch>
                      <a:fillRect/>
                    </a:stretch>
                  </pic:blipFill>
                  <pic:spPr>
                    <a:xfrm>
                      <a:off x="0" y="0"/>
                      <a:ext cx="5040000" cy="2160000"/>
                    </a:xfrm>
                    <a:prstGeom prst="rect">
                      <a:avLst/>
                    </a:prstGeom>
                  </pic:spPr>
                </pic:pic>
              </a:graphicData>
            </a:graphic>
          </wp:inline>
        </w:drawing>
      </w:r>
    </w:p>
    <w:p w14:paraId="39653323">
      <w:pPr>
        <w:spacing w:before="40" w:after="120"/>
        <w:jc w:val="center"/>
        <w:rPr>
          <w:rFonts w:hint="eastAsia" w:ascii="楷体" w:hAnsi="楷体" w:eastAsia="楷体" w:cs="楷体"/>
        </w:rPr>
      </w:pPr>
      <w:r>
        <w:rPr>
          <w:rFonts w:hint="eastAsia" w:ascii="楷体" w:hAnsi="楷体" w:eastAsia="楷体" w:cs="楷体"/>
          <w:b w:val="0"/>
          <w:sz w:val="21"/>
        </w:rPr>
        <w:t xml:space="preserve">图11 </w:t>
      </w:r>
      <w:r>
        <w:rPr>
          <w:rFonts w:hint="default" w:ascii="Times New Roman" w:hAnsi="Times New Roman" w:eastAsia="楷体" w:cs="Times New Roman"/>
          <w:b w:val="0"/>
          <w:sz w:val="21"/>
        </w:rPr>
        <w:t>ARIMA</w:t>
      </w:r>
      <w:r>
        <w:rPr>
          <w:rFonts w:hint="eastAsia" w:ascii="楷体" w:hAnsi="楷体" w:eastAsia="楷体" w:cs="楷体"/>
          <w:b w:val="0"/>
          <w:sz w:val="21"/>
        </w:rPr>
        <w:t>预测值与真实值对比</w:t>
      </w:r>
    </w:p>
    <w:p w14:paraId="36C237EE">
      <w:pPr>
        <w:pStyle w:val="3"/>
        <w:spacing w:before="120"/>
        <w:rPr>
          <w:rFonts w:hint="eastAsia" w:eastAsiaTheme="majorEastAsia"/>
          <w:lang w:val="en-US" w:eastAsia="zh-CN"/>
        </w:rPr>
      </w:pPr>
      <w:bookmarkStart w:id="39" w:name="_Toc23400"/>
      <w:r>
        <w:t xml:space="preserve">4.4 </w:t>
      </w:r>
      <w:r>
        <w:rPr>
          <w:rFonts w:hint="eastAsia"/>
          <w:lang w:val="en-US" w:eastAsia="zh-CN"/>
        </w:rPr>
        <w:t>未来趋势预测</w:t>
      </w:r>
      <w:bookmarkEnd w:id="39"/>
    </w:p>
    <w:p w14:paraId="17B2DB66">
      <w:pPr>
        <w:ind w:firstLine="480"/>
        <w:rPr>
          <w:rFonts w:hint="eastAsia"/>
        </w:rPr>
      </w:pPr>
      <w:r>
        <w:rPr>
          <w:rFonts w:hint="eastAsia"/>
        </w:rPr>
        <w:t>利用全量数据重新训练ARIMA(5,1,2)模型，对未来30个交易日的股价进行预测。如图12所示，蓝色实线为近60个交易日的历史价格，红色虚线为未来30日的预测价格，浅红色区域表示预测的置信区间。预测结果显示股价在未来一个月内将保持相对平稳的走势，小幅波动。预测结果已保存至prediction_result.csv文件供进一步分析。</w:t>
      </w:r>
    </w:p>
    <w:p w14:paraId="57F08C0B">
      <w:pPr>
        <w:spacing w:before="120" w:after="40"/>
        <w:jc w:val="center"/>
      </w:pPr>
      <w:r>
        <w:drawing>
          <wp:inline distT="0" distB="0" distL="114300" distR="114300">
            <wp:extent cx="5039995" cy="2099945"/>
            <wp:effectExtent l="0" t="0" r="8255" b="508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24"/>
                    <a:stretch>
                      <a:fillRect/>
                    </a:stretch>
                  </pic:blipFill>
                  <pic:spPr>
                    <a:xfrm>
                      <a:off x="0" y="0"/>
                      <a:ext cx="5040000" cy="2100000"/>
                    </a:xfrm>
                    <a:prstGeom prst="rect">
                      <a:avLst/>
                    </a:prstGeom>
                  </pic:spPr>
                </pic:pic>
              </a:graphicData>
            </a:graphic>
          </wp:inline>
        </w:drawing>
      </w:r>
    </w:p>
    <w:p w14:paraId="1CC2F395">
      <w:pPr>
        <w:spacing w:before="40" w:after="120"/>
        <w:jc w:val="center"/>
        <w:rPr>
          <w:rFonts w:hint="eastAsia" w:ascii="楷体" w:hAnsi="楷体" w:eastAsia="楷体" w:cs="楷体"/>
          <w:sz w:val="21"/>
          <w:szCs w:val="21"/>
        </w:rPr>
      </w:pPr>
      <w:r>
        <w:rPr>
          <w:rFonts w:hint="eastAsia" w:ascii="楷体" w:hAnsi="楷体" w:eastAsia="楷体" w:cs="楷体"/>
          <w:b w:val="0"/>
          <w:sz w:val="21"/>
          <w:szCs w:val="21"/>
        </w:rPr>
        <w:t>图12 未来30个交易日股价预测</w:t>
      </w:r>
    </w:p>
    <w:p w14:paraId="64AF0EF0">
      <w:pPr>
        <w:ind w:firstLine="480"/>
        <w:rPr>
          <w:rFonts w:hint="eastAsia"/>
        </w:rPr>
      </w:pPr>
      <w:r>
        <w:rPr>
          <w:rFonts w:hint="eastAsia"/>
        </w:rPr>
        <w:t>ARIMA模型构建的核心代码如下：</w:t>
      </w:r>
    </w:p>
    <w:p w14:paraId="0DB3B7E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from statsmodels.tsa.arima.model import ARIMA</w:t>
      </w:r>
    </w:p>
    <w:p w14:paraId="4A361ED8">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from statsmodels.tsa.stattools import adfuller</w:t>
      </w:r>
    </w:p>
    <w:p w14:paraId="5C3AE7C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508314E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close = daily['close']</w:t>
      </w:r>
    </w:p>
    <w:p w14:paraId="07107A5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adf_result = adfuller(close.dropna())</w:t>
      </w:r>
    </w:p>
    <w:p w14:paraId="513017E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d_order = 1 if adf_result[1] &gt; 0.05 else 0</w:t>
      </w:r>
    </w:p>
    <w:p w14:paraId="60261E4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63E09C5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train = close[:int(len(close)*0.85)]</w:t>
      </w:r>
    </w:p>
    <w:p w14:paraId="2AE12AE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test = close[int(len(close)*0.85):]</w:t>
      </w:r>
    </w:p>
    <w:p w14:paraId="04B788D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model = ARIMA(train, order=(5, d_order, 2))</w:t>
      </w:r>
    </w:p>
    <w:p w14:paraId="2661154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fitted = model.fit()</w:t>
      </w:r>
    </w:p>
    <w:p w14:paraId="36D8A9B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pred = fitted.forecast(steps=len(test))</w:t>
      </w:r>
    </w:p>
    <w:p w14:paraId="25291C71">
      <w:pPr>
        <w:pStyle w:val="2"/>
        <w:spacing w:before="120"/>
        <w:rPr>
          <w:rFonts w:hint="default" w:eastAsiaTheme="minorEastAsia"/>
          <w:lang w:val="en-US" w:eastAsia="zh-CN"/>
        </w:rPr>
      </w:pPr>
      <w:bookmarkStart w:id="40" w:name="_Toc5495"/>
      <w:r>
        <w:t xml:space="preserve">5. </w:t>
      </w:r>
      <w:r>
        <w:rPr>
          <w:rFonts w:hint="eastAsia"/>
          <w:lang w:val="en-US" w:eastAsia="zh-CN"/>
        </w:rPr>
        <w:t>结论与展望</w:t>
      </w:r>
      <w:bookmarkEnd w:id="40"/>
    </w:p>
    <w:p w14:paraId="27017D0C">
      <w:pPr>
        <w:pStyle w:val="3"/>
        <w:spacing w:before="120"/>
        <w:rPr>
          <w:rFonts w:hint="eastAsia" w:eastAsiaTheme="majorEastAsia"/>
          <w:lang w:eastAsia="zh-CN"/>
        </w:rPr>
      </w:pPr>
      <w:bookmarkStart w:id="41" w:name="_Toc10665"/>
      <w:r>
        <w:t xml:space="preserve">5.1 </w:t>
      </w:r>
      <w:r>
        <w:rPr>
          <w:rFonts w:hint="eastAsia"/>
          <w:lang w:val="en-US" w:eastAsia="zh-CN"/>
        </w:rPr>
        <w:t>研究结论</w:t>
      </w:r>
      <w:bookmarkEnd w:id="41"/>
    </w:p>
    <w:p w14:paraId="56A0C9C6">
      <w:pPr>
        <w:pStyle w:val="25"/>
        <w:numPr>
          <w:ilvl w:val="0"/>
          <w:numId w:val="0"/>
        </w:numPr>
        <w:ind w:leftChars="0" w:firstLine="480" w:firstLineChars="200"/>
        <w:rPr>
          <w:rFonts w:hint="eastAsia"/>
          <w:lang w:eastAsia="zh-CN"/>
        </w:rPr>
      </w:pPr>
      <w:r>
        <w:rPr>
          <w:rFonts w:hint="eastAsia"/>
          <w:lang w:eastAsia="zh-CN"/>
        </w:rPr>
        <w:t>本研究以A股上市公司为分析对象，完成了从数据获取、数据分析、可视化展示到模型预测的完整流程。通过Tushare接口获取了5000余家上市公司的基本信息和贵州茅台的详细行情数据，通过网络爬虫获取了东方财富网的财经新闻文本数据，数据来源可靠且覆盖面广。</w:t>
      </w:r>
    </w:p>
    <w:p w14:paraId="50856988">
      <w:pPr>
        <w:pStyle w:val="25"/>
        <w:numPr>
          <w:ilvl w:val="0"/>
          <w:numId w:val="0"/>
        </w:numPr>
        <w:ind w:leftChars="0" w:firstLine="480" w:firstLineChars="200"/>
        <w:rPr>
          <w:rFonts w:hint="eastAsia"/>
          <w:lang w:eastAsia="zh-CN"/>
        </w:rPr>
      </w:pPr>
      <w:r>
        <w:rPr>
          <w:rFonts w:hint="eastAsia"/>
          <w:lang w:eastAsia="zh-CN"/>
        </w:rPr>
        <w:t>可视化分析结果揭示了多个有价值的发现。从行业分布看，化工、电子元件、软件服务等行业上市公司数量较多，体现了中国制造业和科技产业的蓬勃发展。从地域分布看，广东、浙江、江苏等东部沿海省份上市公司高度集中，区域经济发展不均衡的特征明显。从股价技术分析看，贵州茅台的成交量与涨跌幅存在正相关关系，移动均线系统能够有效反映中长期价格趋势。</w:t>
      </w:r>
    </w:p>
    <w:p w14:paraId="7E327632">
      <w:pPr>
        <w:pStyle w:val="25"/>
        <w:numPr>
          <w:ilvl w:val="0"/>
          <w:numId w:val="0"/>
        </w:numPr>
        <w:ind w:leftChars="0" w:firstLine="480" w:firstLineChars="200"/>
      </w:pPr>
      <w:r>
        <w:rPr>
          <w:rFonts w:hint="eastAsia"/>
          <w:lang w:eastAsia="zh-CN"/>
        </w:rPr>
        <w:t>在模型预测方面，ARIMA(5,1,2)模型在贵州茅台股价预测上取得了2.06%的MAPE值，预测精度较高。模型能够较好地捕捉股价的短期波动特征，对未来30个交易日的预测结果显示股价将保持相对平稳的走势。</w:t>
      </w:r>
    </w:p>
    <w:p w14:paraId="739368A0">
      <w:pPr>
        <w:pStyle w:val="3"/>
        <w:spacing w:before="120"/>
        <w:rPr>
          <w:rFonts w:hint="default" w:eastAsiaTheme="majorEastAsia"/>
          <w:lang w:val="en-US" w:eastAsia="zh-CN"/>
        </w:rPr>
      </w:pPr>
      <w:bookmarkStart w:id="42" w:name="_Toc18404"/>
      <w:r>
        <w:t xml:space="preserve">5.2 </w:t>
      </w:r>
      <w:r>
        <w:rPr>
          <w:rFonts w:hint="eastAsia"/>
          <w:lang w:val="en-US" w:eastAsia="zh-CN"/>
        </w:rPr>
        <w:t>不足与展望</w:t>
      </w:r>
      <w:bookmarkEnd w:id="42"/>
    </w:p>
    <w:p w14:paraId="25233BC7">
      <w:pPr>
        <w:ind w:firstLine="480"/>
        <w:rPr>
          <w:rFonts w:hint="eastAsia"/>
          <w:lang w:eastAsia="zh-CN"/>
        </w:rPr>
      </w:pPr>
      <w:r>
        <w:rPr>
          <w:rFonts w:hint="eastAsia"/>
          <w:lang w:eastAsia="zh-CN"/>
        </w:rPr>
        <w:t>本研究仍存在一些不足之处。在数据层面，仅采集了日线级别的行情数据，未纳入宏观经济指标、政策变量和市场情绪等外部因素。在模型层面，ARIMA模型属于线性时间序列模型，对于复杂的非线性关系捕捉能力有限，面对突发事件导致的股价剧烈波动时预测效果可能下降。</w:t>
      </w:r>
    </w:p>
    <w:p w14:paraId="21882C52">
      <w:pPr>
        <w:ind w:firstLine="480"/>
        <w:rPr>
          <w:rFonts w:hint="eastAsia" w:eastAsiaTheme="minorEastAsia"/>
          <w:lang w:eastAsia="zh-CN"/>
        </w:rPr>
      </w:pPr>
      <w:r>
        <w:rPr>
          <w:rFonts w:hint="eastAsia"/>
          <w:lang w:eastAsia="zh-CN"/>
        </w:rPr>
        <w:t>未来可以从以下方向深入研究。在数据维度上，引入更多特征变量如换手率、市盈率、北向资金流向等，丰富模型的输入信息。在模型选择上，尝试LSTM深度学习模型或Prophet等更先进的时间序列预测方法，提升对非线性趋势的建模能力。在分析深度上，可结合财务报表数据进行基本面分析，将技术分析与基本面分析相结合，提供更全面的投资参考。</w:t>
      </w:r>
    </w:p>
    <w:p w14:paraId="1A1FB8AC">
      <w:pPr>
        <w:pStyle w:val="2"/>
        <w:spacing w:before="120"/>
        <w:rPr>
          <w:highlight w:val="none"/>
        </w:rPr>
      </w:pPr>
      <w:bookmarkStart w:id="43" w:name="_Toc14065"/>
      <w:r>
        <w:rPr>
          <w:highlight w:val="none"/>
        </w:rPr>
        <w:t>6. 问题解决及AI工具的使用</w:t>
      </w:r>
      <w:bookmarkEnd w:id="43"/>
    </w:p>
    <w:p w14:paraId="5B88485D">
      <w:pPr>
        <w:pStyle w:val="3"/>
        <w:spacing w:before="120"/>
      </w:pPr>
      <w:bookmarkStart w:id="44" w:name="_Toc15872"/>
      <w:r>
        <w:t>6.1 关键</w:t>
      </w:r>
      <w:r>
        <w:rPr>
          <w:rFonts w:hint="eastAsia"/>
        </w:rPr>
        <w:t>问题及解决方法</w:t>
      </w:r>
      <w:bookmarkEnd w:id="44"/>
    </w:p>
    <w:p w14:paraId="0AE22964">
      <w:pPr>
        <w:ind w:firstLine="480"/>
      </w:pPr>
      <w:r>
        <w:t>在本次课程实验过程中，小组在数据获取、数据处理、模型构建及可视化等环节遇到多个技术细节问题，通过小组内部讨论、查阅专业资料、借助AI工具（Deepseek、</w:t>
      </w:r>
      <w:r>
        <w:rPr>
          <w:rFonts w:hint="eastAsia"/>
          <w:lang w:val="en-US" w:eastAsia="zh-CN"/>
        </w:rPr>
        <w:t>豆包大模型</w:t>
      </w:r>
      <w:r>
        <w:t>）等方式逐一解决。</w:t>
      </w:r>
      <w:r>
        <w:rPr>
          <w:rFonts w:hint="eastAsia"/>
        </w:rPr>
        <w:t>表2</w:t>
      </w:r>
      <w:r>
        <w:t>列举典型问题、解决过程及辅助方式。</w:t>
      </w:r>
    </w:p>
    <w:p w14:paraId="63397C5D">
      <w:pPr>
        <w:widowControl/>
        <w:spacing w:line="240" w:lineRule="auto"/>
        <w:ind w:firstLine="0" w:firstLineChars="0"/>
        <w:jc w:val="left"/>
        <w:rPr>
          <w:sz w:val="21"/>
          <w:szCs w:val="21"/>
        </w:rPr>
      </w:pPr>
      <w:r>
        <w:rPr>
          <w:sz w:val="21"/>
          <w:szCs w:val="21"/>
        </w:rPr>
        <w:br w:type="page"/>
      </w:r>
    </w:p>
    <w:p w14:paraId="7C3384F1">
      <w:pPr>
        <w:spacing w:before="120" w:beforeLines="50"/>
        <w:ind w:firstLine="0" w:firstLineChars="0"/>
        <w:jc w:val="center"/>
        <w:rPr>
          <w:rFonts w:hint="eastAsia" w:ascii="楷体" w:hAnsi="楷体" w:eastAsia="楷体" w:cs="楷体"/>
          <w:sz w:val="21"/>
          <w:szCs w:val="21"/>
        </w:rPr>
      </w:pPr>
      <w:r>
        <w:rPr>
          <w:rFonts w:hint="eastAsia" w:ascii="楷体" w:hAnsi="楷体" w:eastAsia="楷体" w:cs="楷体"/>
          <w:sz w:val="21"/>
          <w:szCs w:val="21"/>
        </w:rPr>
        <w:t>表2 典型问题结果过程及辅助方式</w:t>
      </w:r>
    </w:p>
    <w:tbl>
      <w:tblPr>
        <w:tblStyle w:val="13"/>
        <w:tblW w:w="8786" w:type="dxa"/>
        <w:tblInd w:w="0" w:type="dxa"/>
        <w:tblBorders>
          <w:top w:val="single" w:color="auto" w:sz="4" w:space="0"/>
          <w:left w:val="single" w:color="DEE0E3" w:sz="2" w:space="0"/>
          <w:bottom w:val="single" w:color="auto" w:sz="4" w:space="0"/>
          <w:right w:val="single" w:color="DEE0E3" w:sz="2" w:space="0"/>
          <w:insideH w:val="single" w:color="auto" w:sz="4" w:space="0"/>
          <w:insideV w:val="single" w:color="DEE0E3" w:sz="2" w:space="0"/>
        </w:tblBorders>
        <w:tblLayout w:type="fixed"/>
        <w:tblCellMar>
          <w:top w:w="0" w:type="dxa"/>
          <w:left w:w="10" w:type="dxa"/>
          <w:bottom w:w="0" w:type="dxa"/>
          <w:right w:w="10" w:type="dxa"/>
        </w:tblCellMar>
      </w:tblPr>
      <w:tblGrid>
        <w:gridCol w:w="1557"/>
        <w:gridCol w:w="4413"/>
        <w:gridCol w:w="2816"/>
      </w:tblGrid>
      <w:tr w14:paraId="5E9526C1">
        <w:tblPrEx>
          <w:tblBorders>
            <w:top w:val="single" w:color="auto" w:sz="4" w:space="0"/>
            <w:left w:val="single" w:color="DEE0E3" w:sz="2" w:space="0"/>
            <w:bottom w:val="single" w:color="auto" w:sz="4" w:space="0"/>
            <w:right w:val="single" w:color="DEE0E3" w:sz="2" w:space="0"/>
            <w:insideH w:val="single" w:color="auto" w:sz="4" w:space="0"/>
            <w:insideV w:val="single" w:color="DEE0E3" w:sz="2" w:space="0"/>
          </w:tblBorders>
          <w:tblCellMar>
            <w:top w:w="0" w:type="dxa"/>
            <w:left w:w="10" w:type="dxa"/>
            <w:bottom w:w="0" w:type="dxa"/>
            <w:right w:w="10" w:type="dxa"/>
          </w:tblCellMar>
        </w:tblPrEx>
        <w:tc>
          <w:tcPr>
            <w:tcW w:w="1557" w:type="dxa"/>
            <w:tcMar>
              <w:top w:w="60" w:type="dxa"/>
              <w:left w:w="120" w:type="dxa"/>
              <w:bottom w:w="30" w:type="dxa"/>
              <w:right w:w="120" w:type="dxa"/>
            </w:tcMar>
          </w:tcPr>
          <w:p w14:paraId="118ED79F">
            <w:pPr>
              <w:spacing w:line="240" w:lineRule="auto"/>
              <w:ind w:firstLine="0" w:firstLineChars="0"/>
              <w:jc w:val="center"/>
              <w:rPr>
                <w:rFonts w:cs="Times New Roman"/>
                <w:b/>
                <w:sz w:val="21"/>
                <w:szCs w:val="21"/>
              </w:rPr>
            </w:pPr>
            <w:r>
              <w:rPr>
                <w:rFonts w:cs="Times New Roman"/>
                <w:b/>
                <w:sz w:val="21"/>
                <w:szCs w:val="21"/>
              </w:rPr>
              <w:t>问题描述</w:t>
            </w:r>
          </w:p>
        </w:tc>
        <w:tc>
          <w:tcPr>
            <w:tcW w:w="4413" w:type="dxa"/>
            <w:tcMar>
              <w:top w:w="60" w:type="dxa"/>
              <w:left w:w="120" w:type="dxa"/>
              <w:bottom w:w="30" w:type="dxa"/>
              <w:right w:w="120" w:type="dxa"/>
            </w:tcMar>
          </w:tcPr>
          <w:p w14:paraId="773C38C1">
            <w:pPr>
              <w:spacing w:line="240" w:lineRule="auto"/>
              <w:ind w:firstLine="0" w:firstLineChars="0"/>
              <w:jc w:val="center"/>
              <w:rPr>
                <w:rFonts w:cs="Times New Roman"/>
                <w:b/>
                <w:sz w:val="21"/>
                <w:szCs w:val="21"/>
              </w:rPr>
            </w:pPr>
            <w:r>
              <w:rPr>
                <w:rFonts w:cs="Times New Roman"/>
                <w:b/>
                <w:sz w:val="21"/>
                <w:szCs w:val="21"/>
              </w:rPr>
              <w:t>解决过程</w:t>
            </w:r>
          </w:p>
        </w:tc>
        <w:tc>
          <w:tcPr>
            <w:tcW w:w="2816" w:type="dxa"/>
            <w:tcMar>
              <w:top w:w="60" w:type="dxa"/>
              <w:left w:w="120" w:type="dxa"/>
              <w:bottom w:w="30" w:type="dxa"/>
              <w:right w:w="120" w:type="dxa"/>
            </w:tcMar>
          </w:tcPr>
          <w:p w14:paraId="39260E61">
            <w:pPr>
              <w:spacing w:line="240" w:lineRule="auto"/>
              <w:ind w:firstLine="0" w:firstLineChars="0"/>
              <w:jc w:val="center"/>
              <w:rPr>
                <w:rFonts w:cs="Times New Roman"/>
                <w:b/>
                <w:sz w:val="21"/>
                <w:szCs w:val="21"/>
              </w:rPr>
            </w:pPr>
            <w:r>
              <w:rPr>
                <w:rFonts w:cs="Times New Roman"/>
                <w:b/>
                <w:sz w:val="21"/>
                <w:szCs w:val="21"/>
              </w:rPr>
              <w:t>辅助方式</w:t>
            </w:r>
          </w:p>
        </w:tc>
      </w:tr>
      <w:tr w14:paraId="68B61FEB">
        <w:tblPrEx>
          <w:tblBorders>
            <w:top w:val="single" w:color="auto" w:sz="4" w:space="0"/>
            <w:left w:val="single" w:color="DEE0E3" w:sz="2" w:space="0"/>
            <w:bottom w:val="single" w:color="auto" w:sz="4" w:space="0"/>
            <w:right w:val="single" w:color="DEE0E3" w:sz="2" w:space="0"/>
            <w:insideH w:val="single" w:color="auto" w:sz="4" w:space="0"/>
            <w:insideV w:val="single" w:color="DEE0E3" w:sz="2" w:space="0"/>
          </w:tblBorders>
          <w:tblCellMar>
            <w:top w:w="0" w:type="dxa"/>
            <w:left w:w="10" w:type="dxa"/>
            <w:bottom w:w="0" w:type="dxa"/>
            <w:right w:w="10" w:type="dxa"/>
          </w:tblCellMar>
        </w:tblPrEx>
        <w:tc>
          <w:tcPr>
            <w:tcW w:w="1557" w:type="dxa"/>
            <w:tcMar>
              <w:top w:w="60" w:type="dxa"/>
              <w:left w:w="120" w:type="dxa"/>
              <w:bottom w:w="30" w:type="dxa"/>
              <w:right w:w="120" w:type="dxa"/>
            </w:tcMar>
          </w:tcPr>
          <w:p w14:paraId="2A492182">
            <w:pPr>
              <w:spacing w:line="240" w:lineRule="auto"/>
              <w:ind w:firstLine="0" w:firstLineChars="0"/>
              <w:rPr>
                <w:sz w:val="21"/>
                <w:szCs w:val="21"/>
              </w:rPr>
            </w:pPr>
            <w:r>
              <w:rPr>
                <w:rFonts w:hint="eastAsia"/>
                <w:sz w:val="21"/>
                <w:szCs w:val="21"/>
              </w:rPr>
              <w:t>1. Tushare接口调用频繁报错、数据获取失败</w:t>
            </w:r>
          </w:p>
        </w:tc>
        <w:tc>
          <w:tcPr>
            <w:tcW w:w="4413" w:type="dxa"/>
            <w:tcMar>
              <w:top w:w="60" w:type="dxa"/>
              <w:left w:w="120" w:type="dxa"/>
              <w:bottom w:w="30" w:type="dxa"/>
              <w:right w:w="120" w:type="dxa"/>
            </w:tcMar>
          </w:tcPr>
          <w:p w14:paraId="7C16BC65">
            <w:pPr>
              <w:spacing w:line="240" w:lineRule="auto"/>
              <w:ind w:firstLine="0" w:firstLineChars="0"/>
              <w:rPr>
                <w:sz w:val="21"/>
                <w:szCs w:val="21"/>
              </w:rPr>
            </w:pPr>
            <w:r>
              <w:rPr>
                <w:rFonts w:hint="eastAsia"/>
                <w:sz w:val="21"/>
                <w:szCs w:val="21"/>
              </w:rPr>
              <w:t>检查 TOKEN 配置是否正确，增加异常捕获 try-except，设置超时时间，对部分接口增加字段校验，避免因字段不存在导致崩溃；对网络波动导致的失败增加重试逻辑。</w:t>
            </w:r>
          </w:p>
        </w:tc>
        <w:tc>
          <w:tcPr>
            <w:tcW w:w="2816" w:type="dxa"/>
            <w:tcMar>
              <w:top w:w="60" w:type="dxa"/>
              <w:left w:w="120" w:type="dxa"/>
              <w:bottom w:w="30" w:type="dxa"/>
              <w:right w:w="120" w:type="dxa"/>
            </w:tcMar>
          </w:tcPr>
          <w:p w14:paraId="6E93B3FE">
            <w:pPr>
              <w:spacing w:line="240" w:lineRule="auto"/>
              <w:ind w:firstLine="0" w:firstLineChars="0"/>
              <w:rPr>
                <w:rFonts w:hint="eastAsia" w:eastAsiaTheme="minorEastAsia"/>
                <w:sz w:val="21"/>
                <w:szCs w:val="21"/>
                <w:lang w:eastAsia="zh-CN"/>
              </w:rPr>
            </w:pPr>
            <w:r>
              <w:rPr>
                <w:rFonts w:hint="eastAsia"/>
                <w:sz w:val="21"/>
                <w:szCs w:val="21"/>
              </w:rPr>
              <w:t>豆包提供接口调用规范；DeepSeek给出异常处理代码模板</w:t>
            </w:r>
            <w:r>
              <w:rPr>
                <w:rFonts w:hint="eastAsia"/>
                <w:sz w:val="21"/>
                <w:szCs w:val="21"/>
                <w:lang w:eastAsia="zh-CN"/>
              </w:rPr>
              <w:t>。</w:t>
            </w:r>
          </w:p>
        </w:tc>
      </w:tr>
      <w:tr w14:paraId="06139922">
        <w:tblPrEx>
          <w:tblBorders>
            <w:top w:val="single" w:color="auto" w:sz="4" w:space="0"/>
            <w:left w:val="single" w:color="DEE0E3" w:sz="2" w:space="0"/>
            <w:bottom w:val="single" w:color="auto" w:sz="4" w:space="0"/>
            <w:right w:val="single" w:color="DEE0E3" w:sz="2" w:space="0"/>
            <w:insideH w:val="single" w:color="auto" w:sz="4" w:space="0"/>
            <w:insideV w:val="single" w:color="DEE0E3" w:sz="2" w:space="0"/>
          </w:tblBorders>
          <w:tblCellMar>
            <w:top w:w="0" w:type="dxa"/>
            <w:left w:w="10" w:type="dxa"/>
            <w:bottom w:w="0" w:type="dxa"/>
            <w:right w:w="10" w:type="dxa"/>
          </w:tblCellMar>
        </w:tblPrEx>
        <w:tc>
          <w:tcPr>
            <w:tcW w:w="1557" w:type="dxa"/>
            <w:tcMar>
              <w:top w:w="60" w:type="dxa"/>
              <w:left w:w="120" w:type="dxa"/>
              <w:bottom w:w="30" w:type="dxa"/>
              <w:right w:w="120" w:type="dxa"/>
            </w:tcMar>
          </w:tcPr>
          <w:p w14:paraId="2001062B">
            <w:pPr>
              <w:spacing w:line="240" w:lineRule="auto"/>
              <w:ind w:firstLine="0" w:firstLineChars="0"/>
              <w:rPr>
                <w:sz w:val="21"/>
                <w:szCs w:val="21"/>
              </w:rPr>
            </w:pPr>
            <w:r>
              <w:rPr>
                <w:rFonts w:hint="eastAsia"/>
                <w:sz w:val="21"/>
                <w:szCs w:val="21"/>
              </w:rPr>
              <w:t>2. 数据读取后中文乱码、日期格式不统一</w:t>
            </w:r>
          </w:p>
        </w:tc>
        <w:tc>
          <w:tcPr>
            <w:tcW w:w="4413" w:type="dxa"/>
            <w:tcMar>
              <w:top w:w="60" w:type="dxa"/>
              <w:left w:w="120" w:type="dxa"/>
              <w:bottom w:w="30" w:type="dxa"/>
              <w:right w:w="120" w:type="dxa"/>
            </w:tcMar>
          </w:tcPr>
          <w:p w14:paraId="3BACACE0">
            <w:pPr>
              <w:spacing w:line="240" w:lineRule="auto"/>
              <w:ind w:firstLine="0" w:firstLineChars="0"/>
              <w:rPr>
                <w:sz w:val="21"/>
                <w:szCs w:val="21"/>
              </w:rPr>
            </w:pPr>
            <w:r>
              <w:rPr>
                <w:rFonts w:hint="eastAsia"/>
                <w:sz w:val="21"/>
                <w:szCs w:val="21"/>
              </w:rPr>
              <w:t>读取 CSV 时指定encoding='utf-8-sig'，对 trade_date 统一用 pd.to_datetime 格式化，确保时间序列可排序、可绘图。</w:t>
            </w:r>
          </w:p>
        </w:tc>
        <w:tc>
          <w:tcPr>
            <w:tcW w:w="2816" w:type="dxa"/>
            <w:tcMar>
              <w:top w:w="60" w:type="dxa"/>
              <w:left w:w="120" w:type="dxa"/>
              <w:bottom w:w="30" w:type="dxa"/>
              <w:right w:w="120" w:type="dxa"/>
            </w:tcMar>
          </w:tcPr>
          <w:p w14:paraId="52C60253">
            <w:pPr>
              <w:spacing w:line="240" w:lineRule="auto"/>
              <w:ind w:firstLine="0" w:firstLineChars="0"/>
              <w:rPr>
                <w:rFonts w:hint="eastAsia" w:eastAsia="宋体"/>
                <w:sz w:val="21"/>
                <w:szCs w:val="21"/>
                <w:lang w:eastAsia="zh-CN"/>
              </w:rPr>
            </w:pPr>
            <w:r>
              <w:rPr>
                <w:rFonts w:hint="eastAsia"/>
                <w:sz w:val="21"/>
                <w:szCs w:val="21"/>
              </w:rPr>
              <w:t>豆包指导编码问题处理；DeepSeek提供日期格式化完整代码</w:t>
            </w:r>
            <w:r>
              <w:rPr>
                <w:rFonts w:hint="eastAsia"/>
                <w:sz w:val="21"/>
                <w:szCs w:val="21"/>
                <w:lang w:eastAsia="zh-CN"/>
              </w:rPr>
              <w:t>。</w:t>
            </w:r>
          </w:p>
        </w:tc>
      </w:tr>
      <w:tr w14:paraId="4B22A2AB">
        <w:tblPrEx>
          <w:tblBorders>
            <w:top w:val="single" w:color="auto" w:sz="4" w:space="0"/>
            <w:left w:val="single" w:color="DEE0E3" w:sz="2" w:space="0"/>
            <w:bottom w:val="single" w:color="auto" w:sz="4" w:space="0"/>
            <w:right w:val="single" w:color="DEE0E3" w:sz="2" w:space="0"/>
            <w:insideH w:val="single" w:color="auto" w:sz="4" w:space="0"/>
            <w:insideV w:val="single" w:color="DEE0E3" w:sz="2" w:space="0"/>
          </w:tblBorders>
          <w:tblCellMar>
            <w:top w:w="0" w:type="dxa"/>
            <w:left w:w="10" w:type="dxa"/>
            <w:bottom w:w="0" w:type="dxa"/>
            <w:right w:w="10" w:type="dxa"/>
          </w:tblCellMar>
        </w:tblPrEx>
        <w:tc>
          <w:tcPr>
            <w:tcW w:w="1557" w:type="dxa"/>
            <w:tcMar>
              <w:top w:w="60" w:type="dxa"/>
              <w:left w:w="120" w:type="dxa"/>
              <w:bottom w:w="30" w:type="dxa"/>
              <w:right w:w="120" w:type="dxa"/>
            </w:tcMar>
          </w:tcPr>
          <w:p w14:paraId="53596ED8">
            <w:pPr>
              <w:spacing w:line="240" w:lineRule="auto"/>
              <w:ind w:firstLine="0" w:firstLineChars="0"/>
              <w:rPr>
                <w:rFonts w:hint="default" w:eastAsiaTheme="minorEastAsia"/>
                <w:sz w:val="21"/>
                <w:szCs w:val="21"/>
                <w:lang w:val="en-US" w:eastAsia="zh-CN"/>
              </w:rPr>
            </w:pPr>
            <w:r>
              <w:rPr>
                <w:rFonts w:hint="eastAsia"/>
                <w:sz w:val="21"/>
                <w:szCs w:val="21"/>
              </w:rPr>
              <w:t>3. matplotlib绘图时中文显示为方框</w:t>
            </w:r>
            <w:r>
              <w:rPr>
                <w:rFonts w:hint="eastAsia"/>
                <w:sz w:val="21"/>
                <w:szCs w:val="21"/>
                <w:lang w:eastAsia="zh-CN"/>
              </w:rPr>
              <w:t>、</w:t>
            </w:r>
            <w:r>
              <w:rPr>
                <w:rFonts w:hint="eastAsia"/>
                <w:sz w:val="21"/>
                <w:szCs w:val="21"/>
                <w:lang w:val="en-US" w:eastAsia="zh-CN"/>
              </w:rPr>
              <w:t>负号乱码</w:t>
            </w:r>
          </w:p>
        </w:tc>
        <w:tc>
          <w:tcPr>
            <w:tcW w:w="4413" w:type="dxa"/>
            <w:tcMar>
              <w:top w:w="60" w:type="dxa"/>
              <w:left w:w="120" w:type="dxa"/>
              <w:bottom w:w="30" w:type="dxa"/>
              <w:right w:w="120" w:type="dxa"/>
            </w:tcMar>
          </w:tcPr>
          <w:p w14:paraId="46B97848">
            <w:pPr>
              <w:spacing w:line="240" w:lineRule="auto"/>
              <w:ind w:firstLine="0" w:firstLineChars="0"/>
              <w:rPr>
                <w:sz w:val="21"/>
                <w:szCs w:val="21"/>
              </w:rPr>
            </w:pPr>
            <w:r>
              <w:rPr>
                <w:rFonts w:hint="eastAsia"/>
                <w:sz w:val="21"/>
                <w:szCs w:val="21"/>
              </w:rPr>
              <w:t>在代码开头设置中文字体：plt.rcParams ['font.sans-serif'] = ['SimHei']，同时设置 plt.rcParams ['axes.unicode_minus'] = False。</w:t>
            </w:r>
          </w:p>
        </w:tc>
        <w:tc>
          <w:tcPr>
            <w:tcW w:w="2816" w:type="dxa"/>
            <w:tcMar>
              <w:top w:w="60" w:type="dxa"/>
              <w:left w:w="120" w:type="dxa"/>
              <w:bottom w:w="30" w:type="dxa"/>
              <w:right w:w="120" w:type="dxa"/>
            </w:tcMar>
          </w:tcPr>
          <w:p w14:paraId="72DCF414">
            <w:pPr>
              <w:spacing w:line="240" w:lineRule="auto"/>
              <w:ind w:firstLine="0" w:firstLineChars="0"/>
              <w:rPr>
                <w:rFonts w:hint="eastAsia" w:eastAsiaTheme="minorEastAsia"/>
                <w:sz w:val="21"/>
                <w:szCs w:val="21"/>
                <w:lang w:eastAsia="zh-CN"/>
              </w:rPr>
            </w:pPr>
            <w:r>
              <w:rPr>
                <w:rFonts w:hint="eastAsia"/>
                <w:sz w:val="21"/>
                <w:szCs w:val="21"/>
              </w:rPr>
              <w:t>豆包提供绘图中文配置方案；DeepSeek补充多系统兼容写法</w:t>
            </w:r>
            <w:r>
              <w:rPr>
                <w:rFonts w:hint="eastAsia"/>
                <w:sz w:val="21"/>
                <w:szCs w:val="21"/>
                <w:lang w:eastAsia="zh-CN"/>
              </w:rPr>
              <w:t>。</w:t>
            </w:r>
          </w:p>
        </w:tc>
      </w:tr>
      <w:tr w14:paraId="71FF38E1">
        <w:tblPrEx>
          <w:tblBorders>
            <w:top w:val="single" w:color="auto" w:sz="4" w:space="0"/>
            <w:left w:val="single" w:color="DEE0E3" w:sz="2" w:space="0"/>
            <w:bottom w:val="single" w:color="auto" w:sz="4" w:space="0"/>
            <w:right w:val="single" w:color="DEE0E3" w:sz="2" w:space="0"/>
            <w:insideH w:val="single" w:color="auto" w:sz="4" w:space="0"/>
            <w:insideV w:val="single" w:color="DEE0E3" w:sz="2" w:space="0"/>
          </w:tblBorders>
          <w:tblCellMar>
            <w:top w:w="0" w:type="dxa"/>
            <w:left w:w="10" w:type="dxa"/>
            <w:bottom w:w="0" w:type="dxa"/>
            <w:right w:w="10" w:type="dxa"/>
          </w:tblCellMar>
        </w:tblPrEx>
        <w:tc>
          <w:tcPr>
            <w:tcW w:w="1557" w:type="dxa"/>
            <w:tcMar>
              <w:top w:w="60" w:type="dxa"/>
              <w:left w:w="120" w:type="dxa"/>
              <w:bottom w:w="30" w:type="dxa"/>
              <w:right w:w="120" w:type="dxa"/>
            </w:tcMar>
          </w:tcPr>
          <w:p w14:paraId="58A848CB">
            <w:pPr>
              <w:spacing w:line="240" w:lineRule="auto"/>
              <w:ind w:firstLine="0" w:firstLineChars="0"/>
              <w:rPr>
                <w:sz w:val="21"/>
                <w:szCs w:val="21"/>
              </w:rPr>
            </w:pPr>
            <w:r>
              <w:rPr>
                <w:rFonts w:hint="eastAsia"/>
                <w:sz w:val="21"/>
                <w:szCs w:val="21"/>
              </w:rPr>
              <w:t>4. 股价时序数据非平稳，ARIMA无法直接建模</w:t>
            </w:r>
          </w:p>
        </w:tc>
        <w:tc>
          <w:tcPr>
            <w:tcW w:w="4413" w:type="dxa"/>
            <w:tcMar>
              <w:top w:w="60" w:type="dxa"/>
              <w:left w:w="120" w:type="dxa"/>
              <w:bottom w:w="30" w:type="dxa"/>
              <w:right w:w="120" w:type="dxa"/>
            </w:tcMar>
          </w:tcPr>
          <w:p w14:paraId="0DAAF629">
            <w:pPr>
              <w:spacing w:line="240" w:lineRule="auto"/>
              <w:ind w:firstLine="0" w:firstLineChars="0"/>
              <w:rPr>
                <w:sz w:val="21"/>
                <w:szCs w:val="21"/>
              </w:rPr>
            </w:pPr>
            <w:r>
              <w:rPr>
                <w:rFonts w:hint="eastAsia"/>
                <w:sz w:val="21"/>
                <w:szCs w:val="21"/>
              </w:rPr>
              <w:t>使用 ADF 检验判断平稳性，p 值 &gt; 0.05 则进行一阶差分，确定 d=1，再通过 ACF/PACF 图确定 p、q 阶数，最终使用 ARIMA (5,1,2) 模型。</w:t>
            </w:r>
          </w:p>
        </w:tc>
        <w:tc>
          <w:tcPr>
            <w:tcW w:w="2816" w:type="dxa"/>
            <w:tcMar>
              <w:top w:w="60" w:type="dxa"/>
              <w:left w:w="120" w:type="dxa"/>
              <w:bottom w:w="30" w:type="dxa"/>
              <w:right w:w="120" w:type="dxa"/>
            </w:tcMar>
          </w:tcPr>
          <w:p w14:paraId="184DB19E">
            <w:pPr>
              <w:spacing w:line="240" w:lineRule="auto"/>
              <w:ind w:firstLine="0" w:firstLineChars="0"/>
              <w:rPr>
                <w:sz w:val="21"/>
                <w:szCs w:val="21"/>
              </w:rPr>
            </w:pPr>
            <w:r>
              <w:rPr>
                <w:rFonts w:hint="eastAsia"/>
                <w:sz w:val="21"/>
                <w:szCs w:val="21"/>
              </w:rPr>
              <w:t>豆包讲解平稳性检验原理；DeepSeek提供 p/q 参数选择方法。</w:t>
            </w:r>
          </w:p>
        </w:tc>
      </w:tr>
      <w:tr w14:paraId="6698117C">
        <w:tblPrEx>
          <w:tblBorders>
            <w:top w:val="single" w:color="auto" w:sz="4" w:space="0"/>
            <w:left w:val="single" w:color="DEE0E3" w:sz="2" w:space="0"/>
            <w:bottom w:val="single" w:color="auto" w:sz="4" w:space="0"/>
            <w:right w:val="single" w:color="DEE0E3" w:sz="2" w:space="0"/>
            <w:insideH w:val="single" w:color="auto" w:sz="4" w:space="0"/>
            <w:insideV w:val="single" w:color="DEE0E3" w:sz="2" w:space="0"/>
          </w:tblBorders>
          <w:tblCellMar>
            <w:top w:w="0" w:type="dxa"/>
            <w:left w:w="10" w:type="dxa"/>
            <w:bottom w:w="0" w:type="dxa"/>
            <w:right w:w="10" w:type="dxa"/>
          </w:tblCellMar>
        </w:tblPrEx>
        <w:tc>
          <w:tcPr>
            <w:tcW w:w="1557" w:type="dxa"/>
            <w:tcMar>
              <w:top w:w="60" w:type="dxa"/>
              <w:left w:w="120" w:type="dxa"/>
              <w:bottom w:w="30" w:type="dxa"/>
              <w:right w:w="120" w:type="dxa"/>
            </w:tcMar>
          </w:tcPr>
          <w:p w14:paraId="2D21C32D">
            <w:pPr>
              <w:spacing w:line="240" w:lineRule="auto"/>
              <w:ind w:firstLine="0" w:firstLineChars="0"/>
              <w:rPr>
                <w:sz w:val="21"/>
                <w:szCs w:val="21"/>
              </w:rPr>
            </w:pPr>
            <w:r>
              <w:rPr>
                <w:rFonts w:hint="eastAsia"/>
                <w:sz w:val="21"/>
                <w:szCs w:val="21"/>
              </w:rPr>
              <w:t>5. ARIMA模型预测值与真实值偏差较大</w:t>
            </w:r>
          </w:p>
        </w:tc>
        <w:tc>
          <w:tcPr>
            <w:tcW w:w="4413" w:type="dxa"/>
            <w:tcMar>
              <w:top w:w="60" w:type="dxa"/>
              <w:left w:w="120" w:type="dxa"/>
              <w:bottom w:w="30" w:type="dxa"/>
              <w:right w:w="120" w:type="dxa"/>
            </w:tcMar>
          </w:tcPr>
          <w:p w14:paraId="3FFD18B0">
            <w:pPr>
              <w:spacing w:line="240" w:lineRule="auto"/>
              <w:ind w:firstLine="0" w:firstLineChars="0"/>
              <w:rPr>
                <w:sz w:val="21"/>
                <w:szCs w:val="21"/>
              </w:rPr>
            </w:pPr>
            <w:r>
              <w:rPr>
                <w:rFonts w:hint="eastAsia"/>
                <w:sz w:val="21"/>
                <w:szCs w:val="21"/>
              </w:rPr>
              <w:t>划分训练集与测试集，用 MAE、RMSE、MAPE 评估效果，调整 p、q 参数，删除异常日期数据，优化模型拟合度。</w:t>
            </w:r>
          </w:p>
        </w:tc>
        <w:tc>
          <w:tcPr>
            <w:tcW w:w="2816" w:type="dxa"/>
            <w:tcMar>
              <w:top w:w="60" w:type="dxa"/>
              <w:left w:w="120" w:type="dxa"/>
              <w:bottom w:w="30" w:type="dxa"/>
              <w:right w:w="120" w:type="dxa"/>
            </w:tcMar>
          </w:tcPr>
          <w:p w14:paraId="02724FF0">
            <w:pPr>
              <w:spacing w:line="240" w:lineRule="auto"/>
              <w:ind w:firstLine="0" w:firstLineChars="0"/>
              <w:rPr>
                <w:sz w:val="21"/>
                <w:szCs w:val="21"/>
              </w:rPr>
            </w:pPr>
            <w:r>
              <w:rPr>
                <w:rFonts w:hint="eastAsia"/>
                <w:sz w:val="21"/>
                <w:szCs w:val="21"/>
              </w:rPr>
              <w:t>豆包提供模型评估指标计算；DeepSeek优化模型训练流程。</w:t>
            </w:r>
          </w:p>
        </w:tc>
      </w:tr>
      <w:tr w14:paraId="301CC52D">
        <w:tblPrEx>
          <w:tblBorders>
            <w:top w:val="single" w:color="auto" w:sz="4" w:space="0"/>
            <w:left w:val="single" w:color="DEE0E3" w:sz="2" w:space="0"/>
            <w:bottom w:val="single" w:color="auto" w:sz="4" w:space="0"/>
            <w:right w:val="single" w:color="DEE0E3" w:sz="2" w:space="0"/>
            <w:insideH w:val="single" w:color="auto" w:sz="4" w:space="0"/>
            <w:insideV w:val="single" w:color="DEE0E3" w:sz="2" w:space="0"/>
          </w:tblBorders>
          <w:tblCellMar>
            <w:top w:w="0" w:type="dxa"/>
            <w:left w:w="10" w:type="dxa"/>
            <w:bottom w:w="0" w:type="dxa"/>
            <w:right w:w="10" w:type="dxa"/>
          </w:tblCellMar>
        </w:tblPrEx>
        <w:tc>
          <w:tcPr>
            <w:tcW w:w="1557" w:type="dxa"/>
            <w:tcMar>
              <w:top w:w="60" w:type="dxa"/>
              <w:left w:w="120" w:type="dxa"/>
              <w:bottom w:w="30" w:type="dxa"/>
              <w:right w:w="120" w:type="dxa"/>
            </w:tcMar>
          </w:tcPr>
          <w:p w14:paraId="7E099F4B">
            <w:pPr>
              <w:spacing w:line="240" w:lineRule="auto"/>
              <w:ind w:firstLine="0" w:firstLineChars="0"/>
              <w:rPr>
                <w:sz w:val="21"/>
                <w:szCs w:val="21"/>
              </w:rPr>
            </w:pPr>
            <w:r>
              <w:rPr>
                <w:rFonts w:hint="eastAsia"/>
                <w:sz w:val="21"/>
                <w:szCs w:val="21"/>
              </w:rPr>
              <w:t>6. 词云生成时出现大量无意义词汇</w:t>
            </w:r>
          </w:p>
        </w:tc>
        <w:tc>
          <w:tcPr>
            <w:tcW w:w="4413" w:type="dxa"/>
            <w:tcMar>
              <w:top w:w="60" w:type="dxa"/>
              <w:left w:w="120" w:type="dxa"/>
              <w:bottom w:w="30" w:type="dxa"/>
              <w:right w:w="120" w:type="dxa"/>
            </w:tcMar>
          </w:tcPr>
          <w:p w14:paraId="409D599B">
            <w:pPr>
              <w:spacing w:line="240" w:lineRule="auto"/>
              <w:ind w:firstLine="0" w:firstLineChars="0"/>
              <w:rPr>
                <w:sz w:val="21"/>
                <w:szCs w:val="21"/>
              </w:rPr>
            </w:pPr>
            <w:r>
              <w:rPr>
                <w:rFonts w:hint="eastAsia"/>
                <w:sz w:val="21"/>
                <w:szCs w:val="21"/>
              </w:rPr>
              <w:t>使用jieba分词，过滤 “的、了、是” 等停用词，只保留长度≥2 的关键词，提升词云可读性。</w:t>
            </w:r>
          </w:p>
        </w:tc>
        <w:tc>
          <w:tcPr>
            <w:tcW w:w="2816" w:type="dxa"/>
            <w:tcMar>
              <w:top w:w="60" w:type="dxa"/>
              <w:left w:w="120" w:type="dxa"/>
              <w:bottom w:w="30" w:type="dxa"/>
              <w:right w:w="120" w:type="dxa"/>
            </w:tcMar>
          </w:tcPr>
          <w:p w14:paraId="45F845C8">
            <w:pPr>
              <w:spacing w:line="240" w:lineRule="auto"/>
              <w:ind w:firstLine="0" w:firstLineChars="0"/>
              <w:rPr>
                <w:sz w:val="21"/>
                <w:szCs w:val="21"/>
              </w:rPr>
            </w:pPr>
            <w:r>
              <w:rPr>
                <w:rFonts w:hint="eastAsia"/>
                <w:sz w:val="21"/>
                <w:szCs w:val="21"/>
              </w:rPr>
              <w:t>豆包规划项目结构；DeepSeek优化文件读写与路径管理。</w:t>
            </w:r>
          </w:p>
        </w:tc>
      </w:tr>
      <w:tr w14:paraId="50836D98">
        <w:tblPrEx>
          <w:tblBorders>
            <w:top w:val="single" w:color="auto" w:sz="4" w:space="0"/>
            <w:left w:val="single" w:color="DEE0E3" w:sz="2" w:space="0"/>
            <w:bottom w:val="single" w:color="auto" w:sz="4" w:space="0"/>
            <w:right w:val="single" w:color="DEE0E3" w:sz="2" w:space="0"/>
            <w:insideH w:val="single" w:color="auto" w:sz="4" w:space="0"/>
            <w:insideV w:val="single" w:color="DEE0E3" w:sz="2" w:space="0"/>
          </w:tblBorders>
          <w:tblCellMar>
            <w:top w:w="0" w:type="dxa"/>
            <w:left w:w="10" w:type="dxa"/>
            <w:bottom w:w="0" w:type="dxa"/>
            <w:right w:w="10" w:type="dxa"/>
          </w:tblCellMar>
        </w:tblPrEx>
        <w:tc>
          <w:tcPr>
            <w:tcW w:w="1557" w:type="dxa"/>
            <w:tcMar>
              <w:top w:w="60" w:type="dxa"/>
              <w:left w:w="120" w:type="dxa"/>
              <w:bottom w:w="30" w:type="dxa"/>
              <w:right w:w="120" w:type="dxa"/>
            </w:tcMar>
          </w:tcPr>
          <w:p w14:paraId="2F5DEA2D">
            <w:pPr>
              <w:spacing w:line="240" w:lineRule="auto"/>
              <w:ind w:firstLine="0" w:firstLineChars="0"/>
              <w:rPr>
                <w:sz w:val="21"/>
                <w:szCs w:val="21"/>
              </w:rPr>
            </w:pPr>
            <w:r>
              <w:rPr>
                <w:rFonts w:hint="eastAsia"/>
                <w:sz w:val="21"/>
                <w:szCs w:val="21"/>
              </w:rPr>
              <w:t>7. 多文件代码管理混乱、运行顺序不清</w:t>
            </w:r>
          </w:p>
        </w:tc>
        <w:tc>
          <w:tcPr>
            <w:tcW w:w="4413" w:type="dxa"/>
            <w:tcMar>
              <w:top w:w="60" w:type="dxa"/>
              <w:left w:w="120" w:type="dxa"/>
              <w:bottom w:w="30" w:type="dxa"/>
              <w:right w:w="120" w:type="dxa"/>
            </w:tcMar>
          </w:tcPr>
          <w:p w14:paraId="5D426666">
            <w:pPr>
              <w:spacing w:line="240" w:lineRule="auto"/>
              <w:ind w:firstLine="0" w:firstLineChars="0"/>
              <w:rPr>
                <w:sz w:val="21"/>
                <w:szCs w:val="21"/>
              </w:rPr>
            </w:pPr>
            <w:r>
              <w:rPr>
                <w:rFonts w:hint="eastAsia"/>
                <w:sz w:val="21"/>
                <w:szCs w:val="21"/>
              </w:rPr>
              <w:t>将代码拆分为数据获取、爬虫、可视化、预测四个文件，按顺序运行，统一数据存放路径为 data/，图片存放为 output/，添加代码注释说明。</w:t>
            </w:r>
          </w:p>
        </w:tc>
        <w:tc>
          <w:tcPr>
            <w:tcW w:w="2816" w:type="dxa"/>
            <w:tcMar>
              <w:top w:w="60" w:type="dxa"/>
              <w:left w:w="120" w:type="dxa"/>
              <w:bottom w:w="30" w:type="dxa"/>
              <w:right w:w="120" w:type="dxa"/>
            </w:tcMar>
          </w:tcPr>
          <w:p w14:paraId="0B1DC021">
            <w:pPr>
              <w:spacing w:line="240" w:lineRule="auto"/>
              <w:ind w:firstLine="0" w:firstLineChars="0"/>
              <w:rPr>
                <w:sz w:val="21"/>
                <w:szCs w:val="21"/>
              </w:rPr>
            </w:pPr>
            <w:r>
              <w:rPr>
                <w:rFonts w:hint="eastAsia"/>
                <w:sz w:val="21"/>
                <w:szCs w:val="21"/>
              </w:rPr>
              <w:t>豆包提供Word 代码排版方法；DeepSeek指导格式规范。</w:t>
            </w:r>
          </w:p>
        </w:tc>
      </w:tr>
      <w:tr w14:paraId="1D2BB551">
        <w:tblPrEx>
          <w:tblBorders>
            <w:top w:val="single" w:color="auto" w:sz="4" w:space="0"/>
            <w:left w:val="single" w:color="DEE0E3" w:sz="2" w:space="0"/>
            <w:bottom w:val="single" w:color="auto" w:sz="4" w:space="0"/>
            <w:right w:val="single" w:color="DEE0E3" w:sz="2" w:space="0"/>
            <w:insideH w:val="single" w:color="auto" w:sz="4" w:space="0"/>
            <w:insideV w:val="single" w:color="DEE0E3" w:sz="2" w:space="0"/>
          </w:tblBorders>
          <w:tblCellMar>
            <w:top w:w="0" w:type="dxa"/>
            <w:left w:w="10" w:type="dxa"/>
            <w:bottom w:w="0" w:type="dxa"/>
            <w:right w:w="10" w:type="dxa"/>
          </w:tblCellMar>
        </w:tblPrEx>
        <w:tc>
          <w:tcPr>
            <w:tcW w:w="1557" w:type="dxa"/>
            <w:tcMar>
              <w:top w:w="60" w:type="dxa"/>
              <w:left w:w="120" w:type="dxa"/>
              <w:bottom w:w="30" w:type="dxa"/>
              <w:right w:w="120" w:type="dxa"/>
            </w:tcMar>
          </w:tcPr>
          <w:p w14:paraId="77F7771C">
            <w:pPr>
              <w:spacing w:line="240" w:lineRule="auto"/>
              <w:ind w:firstLine="0" w:firstLineChars="0"/>
              <w:rPr>
                <w:rFonts w:hint="default" w:eastAsiaTheme="minorEastAsia"/>
                <w:sz w:val="21"/>
                <w:szCs w:val="21"/>
                <w:lang w:val="en-US" w:eastAsia="zh-CN"/>
              </w:rPr>
            </w:pPr>
            <w:r>
              <w:rPr>
                <w:rFonts w:hint="eastAsia"/>
                <w:sz w:val="21"/>
                <w:szCs w:val="21"/>
                <w:lang w:val="en-US" w:eastAsia="zh-CN"/>
              </w:rPr>
              <w:t>8. 报告中代码排版错乱、缩进丢失、格式不统一</w:t>
            </w:r>
          </w:p>
        </w:tc>
        <w:tc>
          <w:tcPr>
            <w:tcW w:w="4413" w:type="dxa"/>
            <w:tcMar>
              <w:top w:w="60" w:type="dxa"/>
              <w:left w:w="120" w:type="dxa"/>
              <w:bottom w:w="30" w:type="dxa"/>
              <w:right w:w="120" w:type="dxa"/>
            </w:tcMar>
          </w:tcPr>
          <w:p w14:paraId="3BCB3AC3">
            <w:pPr>
              <w:spacing w:line="240" w:lineRule="auto"/>
              <w:ind w:firstLine="0" w:firstLineChars="0"/>
              <w:rPr>
                <w:rFonts w:hint="eastAsia"/>
                <w:sz w:val="21"/>
                <w:szCs w:val="21"/>
              </w:rPr>
            </w:pPr>
            <w:r>
              <w:rPr>
                <w:rFonts w:hint="eastAsia"/>
                <w:sz w:val="21"/>
                <w:szCs w:val="21"/>
              </w:rPr>
              <w:t>将代码用等宽字体、固定行距、浅灰底纹展示，保留原始缩进，统一全文代码样式。</w:t>
            </w:r>
          </w:p>
        </w:tc>
        <w:tc>
          <w:tcPr>
            <w:tcW w:w="2816" w:type="dxa"/>
            <w:tcMar>
              <w:top w:w="60" w:type="dxa"/>
              <w:left w:w="120" w:type="dxa"/>
              <w:bottom w:w="30" w:type="dxa"/>
              <w:right w:w="120" w:type="dxa"/>
            </w:tcMar>
          </w:tcPr>
          <w:p w14:paraId="2AA8F8FB">
            <w:pPr>
              <w:spacing w:line="240" w:lineRule="auto"/>
              <w:ind w:firstLine="0" w:firstLineChars="0"/>
              <w:rPr>
                <w:rFonts w:hint="eastAsia" w:eastAsiaTheme="minorEastAsia"/>
                <w:sz w:val="21"/>
                <w:szCs w:val="21"/>
                <w:lang w:eastAsia="zh-CN"/>
              </w:rPr>
            </w:pPr>
            <w:r>
              <w:rPr>
                <w:rFonts w:hint="eastAsia"/>
                <w:sz w:val="21"/>
                <w:szCs w:val="21"/>
              </w:rPr>
              <w:t>豆包提供Word代码排版方法；DeepSeek指导格式规范</w:t>
            </w:r>
            <w:r>
              <w:rPr>
                <w:rFonts w:hint="eastAsia"/>
                <w:sz w:val="21"/>
                <w:szCs w:val="21"/>
                <w:lang w:eastAsia="zh-CN"/>
              </w:rPr>
              <w:t>。</w:t>
            </w:r>
          </w:p>
        </w:tc>
      </w:tr>
    </w:tbl>
    <w:p w14:paraId="642836C4">
      <w:pPr>
        <w:pStyle w:val="3"/>
        <w:spacing w:before="120"/>
      </w:pPr>
      <w:bookmarkStart w:id="45" w:name="_Toc22494"/>
      <w:r>
        <w:t>6.2 AI工具使用总结</w:t>
      </w:r>
      <w:bookmarkEnd w:id="45"/>
    </w:p>
    <w:p w14:paraId="067D926B">
      <w:pPr>
        <w:ind w:firstLine="480"/>
        <w:rPr>
          <w:rFonts w:hint="eastAsia"/>
        </w:rPr>
      </w:pPr>
      <w:r>
        <w:rPr>
          <w:rFonts w:hint="eastAsia"/>
        </w:rPr>
        <w:t>本次项目全程以豆包、DeepSeek作为主要AI辅助工具，覆盖数据处理、代码编写、模型调试、可视化优化、报告撰写全流程，大幅提升实验效率与完成质量：</w:t>
      </w:r>
    </w:p>
    <w:p w14:paraId="6B0DD2B5">
      <w:pPr>
        <w:ind w:firstLine="480"/>
        <w:rPr>
          <w:rFonts w:hint="eastAsia"/>
        </w:rPr>
      </w:pPr>
      <w:r>
        <w:rPr>
          <w:rFonts w:hint="eastAsia"/>
        </w:rPr>
        <w:t>豆包：主要用于快速解决实操问题，如接口调用、数据读取、绘图中文乱码、Word 格式排版、代码格式统一等，提供可直接复制运行的代码与步骤，实用性强。</w:t>
      </w:r>
    </w:p>
    <w:p w14:paraId="3A3C8903">
      <w:pPr>
        <w:ind w:firstLine="480"/>
        <w:rPr>
          <w:rFonts w:hint="eastAsia"/>
        </w:rPr>
      </w:pPr>
      <w:r>
        <w:rPr>
          <w:rFonts w:hint="eastAsia"/>
        </w:rPr>
        <w:t>DeepSeek：侧重原理讲解与模型逻辑指导，如ARIMA平稳性检验、参数选择、模型评估、时序预测流程等，帮助小组理解算法本质，提升分析深度。</w:t>
      </w:r>
    </w:p>
    <w:p w14:paraId="0E4A75F9">
      <w:pPr>
        <w:ind w:firstLine="480"/>
      </w:pPr>
      <w:r>
        <w:rPr>
          <w:rFonts w:hint="eastAsia"/>
        </w:rPr>
        <w:t>两款工具互补配合，有效解决了实验中90% 以上的技术障碍，让小组能更专注于数据分析与模型设计，同时加深了对数据获取—预处理—可视化—AI 建模完整流程的理解。</w:t>
      </w:r>
    </w:p>
    <w:p w14:paraId="29E3D307">
      <w:pPr>
        <w:pStyle w:val="2"/>
        <w:bidi w:val="0"/>
        <w:rPr>
          <w:highlight w:val="none"/>
        </w:rPr>
      </w:pPr>
      <w:bookmarkStart w:id="46" w:name="_Toc14869"/>
      <w:r>
        <w:rPr>
          <w:highlight w:val="none"/>
        </w:rPr>
        <w:t>7. 学习总结与反思</w:t>
      </w:r>
      <w:bookmarkEnd w:id="46"/>
    </w:p>
    <w:p w14:paraId="49615DD8">
      <w:pPr>
        <w:ind w:firstLine="480"/>
        <w:rPr>
          <w:rFonts w:eastAsia="宋体" w:cs="Times New Roman"/>
        </w:rPr>
      </w:pPr>
      <w:r>
        <w:rPr>
          <w:rFonts w:eastAsia="宋体" w:cs="Times New Roman"/>
        </w:rPr>
        <w:t>本次课程项目围绕</w:t>
      </w:r>
      <w:r>
        <w:rPr>
          <w:rFonts w:hint="eastAsia" w:eastAsia="宋体" w:cs="Times New Roman"/>
          <w:lang w:val="en-US" w:eastAsia="zh-CN"/>
        </w:rPr>
        <w:t>A股财务数据的</w:t>
      </w:r>
      <w:r>
        <w:rPr>
          <w:rFonts w:eastAsia="宋体" w:cs="Times New Roman"/>
        </w:rPr>
        <w:t>分析与预测展开，小组</w:t>
      </w:r>
      <w:r>
        <w:rPr>
          <w:rFonts w:hint="eastAsia" w:eastAsia="宋体" w:cs="Times New Roman"/>
          <w:lang w:val="en-US" w:eastAsia="zh-CN"/>
        </w:rPr>
        <w:t>二</w:t>
      </w:r>
      <w:r>
        <w:rPr>
          <w:rFonts w:eastAsia="宋体" w:cs="Times New Roman"/>
        </w:rPr>
        <w:t>人分工明确、协同合作，完成了从数据获取到模型预测的完整数据科学工作流程，每个人在实践中都获得了专业能力的提升，同时也认识到自身不足，现将个人总结与小组协作总结如下。</w:t>
      </w:r>
    </w:p>
    <w:p w14:paraId="56BD910F">
      <w:pPr>
        <w:pStyle w:val="3"/>
        <w:bidi w:val="0"/>
      </w:pPr>
      <w:bookmarkStart w:id="47" w:name="_Toc3374"/>
      <w:r>
        <w:t>7.1 个人总结与反思</w:t>
      </w:r>
      <w:bookmarkEnd w:id="47"/>
    </w:p>
    <w:p w14:paraId="1578AD93">
      <w:pPr>
        <w:pStyle w:val="4"/>
        <w:bidi w:val="0"/>
        <w:rPr>
          <w:rFonts w:hint="default" w:eastAsiaTheme="minorEastAsia"/>
          <w:lang w:val="en-US" w:eastAsia="zh-CN"/>
        </w:rPr>
      </w:pPr>
      <w:bookmarkStart w:id="48" w:name="_Toc19225"/>
      <w:r>
        <w:t xml:space="preserve">7.1.1 </w:t>
      </w:r>
      <w:bookmarkEnd w:id="48"/>
      <w:r>
        <w:rPr>
          <w:rFonts w:hint="eastAsia"/>
          <w:lang w:val="en-US" w:eastAsia="zh-CN"/>
        </w:rPr>
        <w:t>成员A</w:t>
      </w:r>
    </w:p>
    <w:p w14:paraId="299911D6">
      <w:pPr>
        <w:ind w:firstLine="480"/>
        <w:rPr>
          <w:rFonts w:hint="eastAsia" w:eastAsia="宋体" w:cs="Times New Roman"/>
          <w:lang w:eastAsia="zh-CN"/>
        </w:rPr>
      </w:pPr>
      <w:r>
        <w:rPr>
          <w:rFonts w:hint="eastAsia" w:eastAsia="宋体" w:cs="Times New Roman"/>
          <w:lang w:eastAsia="zh-CN"/>
        </w:rPr>
        <w:t>在本次 A 股财务数据分析与股价预测项目中，我主要负责数据获取、数据清洗、数据集存储以及 ARIMA 模型构建与预测。通过 Tushare 接口完成股票基本信息、日线行情、财务指标的批量采集，使用 pandas 完成缺失值填充、重复值删除、格式统一等预处理工作，搭建了完整、可用的 A 股数据集，为后续分析与建模奠定了基础。</w:t>
      </w:r>
    </w:p>
    <w:p w14:paraId="7F1BFDE2">
      <w:pPr>
        <w:ind w:firstLine="480"/>
        <w:rPr>
          <w:rFonts w:hint="eastAsia" w:eastAsia="宋体" w:cs="Times New Roman"/>
          <w:lang w:eastAsia="zh-CN"/>
        </w:rPr>
      </w:pPr>
      <w:r>
        <w:rPr>
          <w:rFonts w:hint="eastAsia" w:eastAsia="宋体" w:cs="Times New Roman"/>
          <w:lang w:eastAsia="zh-CN"/>
        </w:rPr>
        <w:t>在数据获取环节，我学会了使用Tushare金融数据接口高效获取结构化的股票数据，同时掌握了requests和BeautifulSoup库的网络爬虫技术。实际操作中遇到了网页编码识别、数据清洗等问题，通过查阅文档和反复调试逐一解决，加深了对数据预处理重要性的认识。</w:t>
      </w:r>
    </w:p>
    <w:p w14:paraId="57E4B575">
      <w:pPr>
        <w:ind w:firstLine="480"/>
        <w:rPr>
          <w:rFonts w:hint="eastAsia" w:eastAsia="宋体" w:cs="Times New Roman"/>
          <w:lang w:eastAsia="zh-CN"/>
        </w:rPr>
      </w:pPr>
      <w:r>
        <w:rPr>
          <w:rFonts w:hint="eastAsia" w:eastAsia="宋体" w:cs="Times New Roman"/>
          <w:lang w:eastAsia="zh-CN"/>
        </w:rPr>
        <w:t>在模型预测环节，我学习了时间序列分析的基本理论，掌握了ADF平稳性检验、差分处理、ARIMA模型参数选择和模型评估的完整流程。通过对比训练集和测试集的预测效果，理解了模型评估指标MAE、RMSE和MAPE的实际意义，认识到模型选择需要根据数据特征和应用场景综合考量。</w:t>
      </w:r>
    </w:p>
    <w:p w14:paraId="03AE157C">
      <w:pPr>
        <w:ind w:firstLine="480"/>
        <w:rPr>
          <w:rFonts w:hint="eastAsia" w:eastAsia="宋体" w:cs="Times New Roman"/>
          <w:lang w:eastAsia="zh-CN"/>
        </w:rPr>
      </w:pPr>
      <w:r>
        <w:rPr>
          <w:rFonts w:hint="eastAsia" w:eastAsia="宋体" w:cs="Times New Roman"/>
          <w:lang w:eastAsia="zh-CN"/>
        </w:rPr>
        <w:t>本次实践也让我认识到自身的不足，对金融数据分析的专业知识储备还不够深入，对机器学习和深度学习模型的理论理解有待加强。未来我将继续深入学习Python数据分析相关技术，拓展对更复杂模型的理解和应用能力，不断提升数据科学的实践水平。</w:t>
      </w:r>
    </w:p>
    <w:p w14:paraId="5DF43EAD">
      <w:pPr>
        <w:pStyle w:val="4"/>
        <w:bidi w:val="0"/>
        <w:rPr>
          <w:rFonts w:hint="default" w:eastAsiaTheme="minorEastAsia"/>
          <w:lang w:val="en-US" w:eastAsia="zh-CN"/>
        </w:rPr>
      </w:pPr>
      <w:bookmarkStart w:id="49" w:name="_Toc15976"/>
      <w:r>
        <w:t xml:space="preserve">7.1.2 </w:t>
      </w:r>
      <w:bookmarkEnd w:id="49"/>
      <w:r>
        <w:rPr>
          <w:rFonts w:hint="eastAsia"/>
          <w:lang w:val="en-US" w:eastAsia="zh-CN"/>
        </w:rPr>
        <w:t>成员B</w:t>
      </w:r>
    </w:p>
    <w:p w14:paraId="5C661E52">
      <w:pPr>
        <w:ind w:firstLine="480"/>
        <w:rPr>
          <w:rFonts w:hint="eastAsia" w:eastAsia="宋体" w:cs="Times New Roman"/>
          <w:lang w:eastAsia="zh-CN"/>
        </w:rPr>
      </w:pPr>
      <w:r>
        <w:rPr>
          <w:rFonts w:hint="eastAsia" w:eastAsia="宋体" w:cs="Times New Roman"/>
          <w:lang w:eastAsia="zh-CN"/>
        </w:rPr>
        <w:t>我主要负责多维度数据可视化、图表解读与课程报告主体撰写，围绕 A 股市场结构、个股股价走势、财务指标关联等核心主题，完成了行业分布、地域分布、股价时序、量价关系、均线分析、词云等 10 余类图表的制作，将复杂的金融数据转化为直观、清晰的可视化结论。</w:t>
      </w:r>
    </w:p>
    <w:p w14:paraId="0400610C">
      <w:pPr>
        <w:ind w:firstLine="480"/>
        <w:rPr>
          <w:rFonts w:hint="eastAsia" w:eastAsia="宋体" w:cs="Times New Roman"/>
          <w:lang w:eastAsia="zh-CN"/>
        </w:rPr>
      </w:pPr>
      <w:r>
        <w:rPr>
          <w:rFonts w:hint="eastAsia" w:eastAsia="宋体" w:cs="Times New Roman"/>
          <w:lang w:eastAsia="zh-CN"/>
        </w:rPr>
        <w:t>在可视化分析环节，我系统学习了matplotlib库的各种图表绑定方法，掌握了柱状图、饼图、散点图、地理分布图、动态动画等多种图表的制作技巧。特别是在制作动态可视化图时，使用FuncAnimation实现了股价变化的逐帧动画效果，深入理解了数据可视化不仅是展示数据，更是传递信息和讲述故事的有效手段。</w:t>
      </w:r>
    </w:p>
    <w:p w14:paraId="39FA8A04">
      <w:pPr>
        <w:ind w:firstLine="480"/>
        <w:rPr>
          <w:rFonts w:eastAsia="宋体" w:cs="Times New Roman"/>
        </w:rPr>
      </w:pPr>
      <w:r>
        <w:rPr>
          <w:rFonts w:hint="eastAsia" w:eastAsia="宋体" w:cs="Times New Roman"/>
        </w:rPr>
        <w:t>本次实践让我认识到，数据可视化不仅是“画图”，更是“讲故事”的艺术——好的可视化图表能够直观传递数据背后的逻辑和AI模型的优势，而不仅仅是呈现数据本身。我的不足在于，对图表的美观度和专业性把控仍有欠缺，部分图表的配色和布局不够合理，后续我将加强可视化相关知识的学习，同时提升图表设计能力，让可视化结果更具专业性和说服力</w:t>
      </w:r>
      <w:r>
        <w:rPr>
          <w:rFonts w:eastAsia="宋体" w:cs="Times New Roman"/>
        </w:rPr>
        <w:t>。</w:t>
      </w:r>
    </w:p>
    <w:p w14:paraId="06621C0B">
      <w:pPr>
        <w:pStyle w:val="3"/>
        <w:bidi w:val="0"/>
      </w:pPr>
      <w:bookmarkStart w:id="50" w:name="_Toc9526"/>
      <w:r>
        <w:t>7.2 小组协作总结</w:t>
      </w:r>
      <w:bookmarkEnd w:id="50"/>
    </w:p>
    <w:p w14:paraId="410D4AF0">
      <w:pPr>
        <w:ind w:firstLine="480"/>
        <w:rPr>
          <w:rFonts w:hint="eastAsia" w:eastAsia="宋体" w:cs="Times New Roman"/>
          <w:lang w:eastAsia="zh-CN"/>
        </w:rPr>
      </w:pPr>
      <w:r>
        <w:rPr>
          <w:rFonts w:hint="eastAsia" w:eastAsia="宋体" w:cs="Times New Roman"/>
          <w:lang w:eastAsia="zh-CN"/>
        </w:rPr>
        <w:t>本次项目小组分工明确、配合顺畅，高效完成了从数据采集→清洗→可视化→建模预测→报告撰写的全流程：</w:t>
      </w:r>
    </w:p>
    <w:p w14:paraId="0503506E">
      <w:pPr>
        <w:ind w:firstLine="480"/>
        <w:rPr>
          <w:rFonts w:hint="eastAsia" w:eastAsia="宋体" w:cs="Times New Roman"/>
          <w:lang w:eastAsia="zh-CN"/>
        </w:rPr>
      </w:pPr>
      <w:r>
        <w:rPr>
          <w:rFonts w:hint="eastAsia" w:eastAsia="宋体" w:cs="Times New Roman"/>
          <w:lang w:val="en-US" w:eastAsia="zh-CN"/>
        </w:rPr>
        <w:t>成员A</w:t>
      </w:r>
      <w:r>
        <w:rPr>
          <w:rFonts w:hint="eastAsia" w:eastAsia="宋体" w:cs="Times New Roman"/>
          <w:lang w:eastAsia="zh-CN"/>
        </w:rPr>
        <w:t>负责数据端与模型端，保障了数据的完整性、准确性，以及模型的可运行性与有效性；</w:t>
      </w:r>
    </w:p>
    <w:p w14:paraId="6BA70982">
      <w:pPr>
        <w:ind w:firstLine="480"/>
        <w:rPr>
          <w:rFonts w:hint="eastAsia" w:eastAsia="宋体" w:cs="Times New Roman"/>
          <w:lang w:eastAsia="zh-CN"/>
        </w:rPr>
      </w:pPr>
      <w:r>
        <w:rPr>
          <w:rFonts w:hint="eastAsia" w:eastAsia="宋体" w:cs="Times New Roman"/>
          <w:lang w:val="en-US" w:eastAsia="zh-CN"/>
        </w:rPr>
        <w:t>成员B</w:t>
      </w:r>
      <w:bookmarkStart w:id="59" w:name="_GoBack"/>
      <w:bookmarkEnd w:id="59"/>
      <w:r>
        <w:rPr>
          <w:rFonts w:hint="eastAsia" w:eastAsia="宋体" w:cs="Times New Roman"/>
          <w:lang w:eastAsia="zh-CN"/>
        </w:rPr>
        <w:t>负责可视化与报告端，保障了图表的专业性、结论的清晰性，以及报告的完整性与规范性。</w:t>
      </w:r>
    </w:p>
    <w:p w14:paraId="3F497885">
      <w:pPr>
        <w:ind w:firstLine="480"/>
        <w:rPr>
          <w:rFonts w:hint="eastAsia" w:eastAsia="宋体" w:cs="Times New Roman"/>
          <w:lang w:eastAsia="zh-CN"/>
        </w:rPr>
      </w:pPr>
      <w:r>
        <w:rPr>
          <w:rFonts w:hint="eastAsia" w:eastAsia="宋体" w:cs="Times New Roman"/>
          <w:lang w:eastAsia="zh-CN"/>
        </w:rPr>
        <w:t>协作过程中，我们通过定期同步进度、统一文件结构、规范代码格式，实现了各环节的无缝衔接；同时借助豆包工具，快速解决了跨环节的技术问题，提升了整体效率。当然，项目也暴露出前期需求沟通不够细致、部分环节衔接稍慢等问题，后续我们会进一步优化任务拆分、细化进度节点，提升团队协作的流畅度。</w:t>
      </w:r>
    </w:p>
    <w:p w14:paraId="690F57F1">
      <w:pPr>
        <w:ind w:firstLine="480"/>
        <w:rPr>
          <w:rFonts w:hint="eastAsia" w:eastAsia="宋体" w:cs="Times New Roman"/>
          <w:lang w:eastAsia="zh-CN"/>
        </w:rPr>
      </w:pPr>
      <w:r>
        <w:rPr>
          <w:rFonts w:hint="eastAsia" w:eastAsia="宋体" w:cs="Times New Roman"/>
          <w:lang w:eastAsia="zh-CN"/>
        </w:rPr>
        <w:t>通过本次项目，我们完整实践了数据思维+金融分析+AI 工具的真实科研流程，不仅提升了 Python 编程、数据分析、金融市场理解的专业能力，也强化了团队协作、问题解决的综合素养，为后续的专业学习与实践打下了坚实基础。</w:t>
      </w:r>
    </w:p>
    <w:p w14:paraId="394A4A5D">
      <w:pPr>
        <w:pStyle w:val="2"/>
        <w:spacing w:before="120"/>
      </w:pPr>
      <w:bookmarkStart w:id="51" w:name="_Toc5832"/>
      <w:r>
        <w:t>8. 附录：完整代码整合</w:t>
      </w:r>
      <w:bookmarkEnd w:id="51"/>
    </w:p>
    <w:p w14:paraId="39E1534F">
      <w:pPr>
        <w:ind w:firstLine="480"/>
        <w:rPr>
          <w:rFonts w:hint="eastAsia"/>
        </w:rPr>
      </w:pPr>
      <w:r>
        <w:rPr>
          <w:rFonts w:hint="eastAsia"/>
        </w:rPr>
        <w:t>本附录整合了本次实验全流程的完整代码，包括表格数据获取、文本数据获取、可视化分析和模型预测四个模块，确保实验过程可复现。</w:t>
      </w:r>
    </w:p>
    <w:p w14:paraId="0DFA975F">
      <w:pPr>
        <w:pStyle w:val="3"/>
        <w:bidi w:val="0"/>
      </w:pPr>
      <w:bookmarkStart w:id="52" w:name="_Toc22417"/>
      <w:r>
        <w:rPr>
          <w:rFonts w:hint="eastAsia"/>
          <w:lang w:val="en-US" w:eastAsia="zh-CN"/>
        </w:rPr>
        <w:t xml:space="preserve">8.1 </w:t>
      </w:r>
      <w:r>
        <w:t>表格数据获取代码（1_crawl_table.py）</w:t>
      </w:r>
      <w:bookmarkEnd w:id="52"/>
    </w:p>
    <w:p w14:paraId="003B74B8">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import os, tushare as ts, pandas as pd</w:t>
      </w:r>
    </w:p>
    <w:p w14:paraId="2367BDF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411B6AC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TOKEN = 'd4ade4dc2337bb63733c3ec90deb49bfe013ac6b81452bdba73641e7'</w:t>
      </w:r>
    </w:p>
    <w:p w14:paraId="53404DA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ts.set_token(TOKEN)</w:t>
      </w:r>
    </w:p>
    <w:p w14:paraId="61323F9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pro = ts.pro_api()</w:t>
      </w:r>
    </w:p>
    <w:p w14:paraId="3DCD210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5264149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os.makedirs('data', exist_ok=True)</w:t>
      </w:r>
    </w:p>
    <w:p w14:paraId="1AD0C3D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35DD525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---------- 1. 获取沪深300成分股基本信息 ----------</w:t>
      </w:r>
    </w:p>
    <w:p w14:paraId="4D32B409">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print('[1] 获取股票基本信息...')</w:t>
      </w:r>
    </w:p>
    <w:p w14:paraId="38618CE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stock_basic = pro.stock_basic(exchange='', list_status='L',</w:t>
      </w:r>
    </w:p>
    <w:p w14:paraId="7EC16FC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fields='ts_code,symbol,name,area,industry,market,list_date')</w:t>
      </w:r>
    </w:p>
    <w:p w14:paraId="49E05ED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stock_basic.to_csv('data/stock_basic.csv', index=False, encoding='utf-8-sig')</w:t>
      </w:r>
    </w:p>
    <w:p w14:paraId="48B69CA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print(f'    保存 {len(stock_basic)} 条 → data/stock_basic.csv')</w:t>
      </w:r>
    </w:p>
    <w:p w14:paraId="4410B3A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03E3344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---------- 2. 获取日线行情（贵州茅台 600519） ----------</w:t>
      </w:r>
    </w:p>
    <w:p w14:paraId="78A96B4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print('[2] 获取贵州茅台日线行情...')</w:t>
      </w:r>
    </w:p>
    <w:p w14:paraId="6B88C51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daily = pro.daily(ts_code='600519.SH', start_date='20230101', end_date='20251231')</w:t>
      </w:r>
    </w:p>
    <w:p w14:paraId="50AF38C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daily.to_csv('data/daily_600519.csv', index=False, encoding='utf-8-sig')</w:t>
      </w:r>
    </w:p>
    <w:p w14:paraId="1F1D5A1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print(f'    保存 {len(daily)} 条 → data/daily_600519.csv')</w:t>
      </w:r>
    </w:p>
    <w:p w14:paraId="7DE26B1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6438597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---------- 3. 获取上市公司财务指标 ----------</w:t>
      </w:r>
    </w:p>
    <w:p w14:paraId="23EFEBA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print('[3] 获取财务指标数据...')</w:t>
      </w:r>
    </w:p>
    <w:p w14:paraId="489DB92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fina = pro.fina_indicator(ts_code='600519.SH',</w:t>
      </w:r>
    </w:p>
    <w:p w14:paraId="41525D66">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fields='ts_code,ann_date,end_date,eps,roe,grossprofit_margin,netprofit_yoy')</w:t>
      </w:r>
    </w:p>
    <w:p w14:paraId="3E36DA2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fina.to_csv('data/fina_indicator.csv', index=False, encoding='utf-8-sig')</w:t>
      </w:r>
    </w:p>
    <w:p w14:paraId="5F85252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print(f'    保存 {len(fina)} 条 → data/fina_indicator.csv')</w:t>
      </w:r>
    </w:p>
    <w:p w14:paraId="4D21224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116EC4C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---------- 4. 获取收入报表（多只股票对比） ----------</w:t>
      </w:r>
    </w:p>
    <w:p w14:paraId="57A5B9F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print('[4] 获取多只白酒股收入数据...')</w:t>
      </w:r>
    </w:p>
    <w:p w14:paraId="64DF527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codes = ['600519.SH', '000858.SZ', '000568.SZ', '002304.SZ', '603369.SH']</w:t>
      </w:r>
    </w:p>
    <w:p w14:paraId="2343C286">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rows = []</w:t>
      </w:r>
    </w:p>
    <w:p w14:paraId="15692776">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for c in codes:</w:t>
      </w:r>
    </w:p>
    <w:p w14:paraId="597FF9C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try:</w:t>
      </w:r>
    </w:p>
    <w:p w14:paraId="2F15A39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inc = pro.income(ts_code=c, fields='ts_code,end_date,revenue,n_income')</w:t>
      </w:r>
    </w:p>
    <w:p w14:paraId="0DDB9F4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if inc is not None and len(inc) &gt; 0:</w:t>
      </w:r>
    </w:p>
    <w:p w14:paraId="0695FCE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rows.append(inc)</w:t>
      </w:r>
    </w:p>
    <w:p w14:paraId="27B8826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except Exception as e:</w:t>
      </w:r>
    </w:p>
    <w:p w14:paraId="0952670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print(f'    {c} 获取失败: {e}')</w:t>
      </w:r>
    </w:p>
    <w:p w14:paraId="408AFC28">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if rows:</w:t>
      </w:r>
    </w:p>
    <w:p w14:paraId="679C94A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income_df = pd.concat(rows, ignore_index=True)</w:t>
      </w:r>
    </w:p>
    <w:p w14:paraId="4F4C3BA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income_df.to_csv('data/income_compare.csv', index=False, encoding='utf-8-sig')</w:t>
      </w:r>
    </w:p>
    <w:p w14:paraId="02F22F6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print(f'    保存 {len(income_df)} 条 → data/income_compare.csv')</w:t>
      </w:r>
    </w:p>
    <w:p w14:paraId="7E99575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4CC6289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 表格数据获取完成！')</w:t>
      </w:r>
    </w:p>
    <w:p w14:paraId="5FD9F031">
      <w:pPr>
        <w:pStyle w:val="3"/>
        <w:bidi w:val="0"/>
        <w:rPr>
          <w:rFonts w:hint="eastAsia"/>
          <w:lang w:val="en-US" w:eastAsia="zh-CN"/>
        </w:rPr>
      </w:pPr>
      <w:bookmarkStart w:id="53" w:name="_Toc32363"/>
      <w:bookmarkStart w:id="54" w:name="_Toc16745"/>
      <w:r>
        <w:rPr>
          <w:rFonts w:hint="eastAsia"/>
          <w:lang w:val="en-US" w:eastAsia="zh-CN"/>
        </w:rPr>
        <w:t>8.2 文本数据获取代码（2_crawl_text.py）</w:t>
      </w:r>
      <w:bookmarkEnd w:id="53"/>
      <w:bookmarkEnd w:id="54"/>
    </w:p>
    <w:p w14:paraId="669E43D8">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import os, requests, re</w:t>
      </w:r>
    </w:p>
    <w:p w14:paraId="24B1975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from bs4 import BeautifulSoup</w:t>
      </w:r>
    </w:p>
    <w:p w14:paraId="6D7DF02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3D139B7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os.makedirs('data', exist_ok=True)</w:t>
      </w:r>
    </w:p>
    <w:p w14:paraId="7A58BF5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402B72F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HEADERS = {'User-Agent': 'Mozilla/5.0 (Windows NT 10.0; Win64; x64) AppleWebKit/537.36'}</w:t>
      </w:r>
    </w:p>
    <w:p w14:paraId="2663074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1B3F049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print('[1] 爬取东方财富财经新闻标题...')</w:t>
      </w:r>
    </w:p>
    <w:p w14:paraId="59E0E83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url = 'https://finance.eastmoney.com/a/cywjh.html'</w:t>
      </w:r>
    </w:p>
    <w:p w14:paraId="6D9C09E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resp = requests.get(url, headers=HEADERS, timeout=15)</w:t>
      </w:r>
    </w:p>
    <w:p w14:paraId="3E3E5E2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resp.encoding = resp.apparent_encoding</w:t>
      </w:r>
    </w:p>
    <w:p w14:paraId="6415FBB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soup = BeautifulSoup(resp.text, 'html.parser')</w:t>
      </w:r>
    </w:p>
    <w:p w14:paraId="622890D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titles = []</w:t>
      </w:r>
    </w:p>
    <w:p w14:paraId="4F6F188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for a in soup.select('a'):</w:t>
      </w:r>
    </w:p>
    <w:p w14:paraId="1CA885C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text = a.get_text(strip=True)</w:t>
      </w:r>
    </w:p>
    <w:p w14:paraId="757767D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if len(text) &gt; 10 and len(text) &lt; 80:</w:t>
      </w:r>
    </w:p>
    <w:p w14:paraId="5435D95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titles.append(text)</w:t>
      </w:r>
    </w:p>
    <w:p w14:paraId="464BBF2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titles = list(dict.fromkeys(titles))[:80]</w:t>
      </w:r>
    </w:p>
    <w:p w14:paraId="0329BFF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5DFB3AA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69570AD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with open('data/news_titles.txt', 'w', encoding='utf-8') as f:</w:t>
      </w:r>
    </w:p>
    <w:p w14:paraId="080F39E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for t in titles:</w:t>
      </w:r>
    </w:p>
    <w:p w14:paraId="2D84C1C9">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f.write(t + '\n')</w:t>
      </w:r>
    </w:p>
    <w:p w14:paraId="5DF83DF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print(f'    保存 {len(titles)} 条标题 → data/news_titles.txt')</w:t>
      </w:r>
    </w:p>
    <w:p w14:paraId="3EF0A16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2C28F16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---------- 2. 爬取财经文章正文 ----------</w:t>
      </w:r>
    </w:p>
    <w:p w14:paraId="369F13A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print('[2] 爬取财经文章正文...')</w:t>
      </w:r>
    </w:p>
    <w:p w14:paraId="195B5D18">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article_url = 'https://finance.eastmoney.com/'</w:t>
      </w:r>
    </w:p>
    <w:p w14:paraId="248AC9C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resp2 = requests.get(article_url, headers=HEADERS, timeout=15)</w:t>
      </w:r>
    </w:p>
    <w:p w14:paraId="2C03658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resp2.encoding = resp2.apparent_encoding</w:t>
      </w:r>
    </w:p>
    <w:p w14:paraId="5B5ACE3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soup2 = BeautifulSoup(resp2.text, 'html.parser')</w:t>
      </w:r>
    </w:p>
    <w:p w14:paraId="2A01B67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paragraphs = []</w:t>
      </w:r>
    </w:p>
    <w:p w14:paraId="5C9BCB3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for p in soup2.find_all(['p', 'span', 'div']):</w:t>
      </w:r>
    </w:p>
    <w:p w14:paraId="3006C29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txt = p.get_text(strip=True)</w:t>
      </w:r>
    </w:p>
    <w:p w14:paraId="562F470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txt = re.sub(r'\s+', '', txt)</w:t>
      </w:r>
    </w:p>
    <w:p w14:paraId="761F91F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if 15 &lt; len(txt) &lt; 200:</w:t>
      </w:r>
    </w:p>
    <w:p w14:paraId="1EE3653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paragraphs.append(txt)</w:t>
      </w:r>
    </w:p>
    <w:p w14:paraId="65A6787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paragraphs = list(dict.fromkeys(paragraphs))[:50]</w:t>
      </w:r>
    </w:p>
    <w:p w14:paraId="69E0B236">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0CB6ED7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with open('data/news_content.txt', 'w', encoding='utf-8') as f:</w:t>
      </w:r>
    </w:p>
    <w:p w14:paraId="445171C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for p in paragraphs:</w:t>
      </w:r>
    </w:p>
    <w:p w14:paraId="480E7F0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f.write(p + '\n')</w:t>
      </w:r>
    </w:p>
    <w:p w14:paraId="7B45E889">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print(f'    保存 {len(paragraphs)} 段正文 → data/news_content.txt')</w:t>
      </w:r>
    </w:p>
    <w:p w14:paraId="7EE7953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75A9060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 文本数据获取完成！')</w:t>
      </w:r>
    </w:p>
    <w:p w14:paraId="0B6C8596">
      <w:pPr>
        <w:pStyle w:val="3"/>
        <w:bidi w:val="0"/>
        <w:rPr>
          <w:rFonts w:hint="eastAsia"/>
          <w:lang w:val="en-US" w:eastAsia="zh-CN"/>
        </w:rPr>
      </w:pPr>
      <w:bookmarkStart w:id="55" w:name="_Toc22377"/>
      <w:bookmarkStart w:id="56" w:name="_Toc4399"/>
      <w:r>
        <w:rPr>
          <w:rFonts w:hint="eastAsia"/>
          <w:lang w:val="en-US" w:eastAsia="zh-CN"/>
        </w:rPr>
        <w:t>8.3 数据可视化代码（3_visualization.py）</w:t>
      </w:r>
      <w:bookmarkEnd w:id="55"/>
      <w:bookmarkEnd w:id="56"/>
    </w:p>
    <w:p w14:paraId="02E9E80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import os</w:t>
      </w:r>
    </w:p>
    <w:p w14:paraId="257019B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import pandas as pd</w:t>
      </w:r>
    </w:p>
    <w:p w14:paraId="4617AAB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import numpy as np</w:t>
      </w:r>
    </w:p>
    <w:p w14:paraId="306F88A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import matplotlib</w:t>
      </w:r>
    </w:p>
    <w:p w14:paraId="6236B61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matplotlib.use('Agg')</w:t>
      </w:r>
    </w:p>
    <w:p w14:paraId="150771F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import matplotlib.pyplot as plt</w:t>
      </w:r>
    </w:p>
    <w:p w14:paraId="342D39A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import matplotlib.animation as animation</w:t>
      </w:r>
    </w:p>
    <w:p w14:paraId="42C0E4B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from wordcloud import WordCloud</w:t>
      </w:r>
    </w:p>
    <w:p w14:paraId="48D3FBA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import jieba</w:t>
      </w:r>
    </w:p>
    <w:p w14:paraId="66FED02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422CBE3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plt.rcParams['font.sans-serif'] = ['SimHei', 'Microsoft YaHei']</w:t>
      </w:r>
    </w:p>
    <w:p w14:paraId="48A7D53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plt.rcParams['axes.unicode_minus'] = False</w:t>
      </w:r>
    </w:p>
    <w:p w14:paraId="79BEAC3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6CCAA88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os.makedirs('output', exist_ok=True)</w:t>
      </w:r>
    </w:p>
    <w:p w14:paraId="53A275C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4684D359">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 加载数据 ====================</w:t>
      </w:r>
    </w:p>
    <w:p w14:paraId="5B60367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daily = pd.read_csv('data/daily_600519.csv')</w:t>
      </w:r>
    </w:p>
    <w:p w14:paraId="4B39B68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daily['trade_date'] = pd.to_datetime(daily['trade_date'], format='%Y%m%d')</w:t>
      </w:r>
    </w:p>
    <w:p w14:paraId="5E5B5A6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daily = daily.sort_values('trade_date').reset_index(drop=True)</w:t>
      </w:r>
    </w:p>
    <w:p w14:paraId="3FB6BA5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759F12A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stock_basic = pd.read_csv('data/stock_basic.csv')</w:t>
      </w:r>
    </w:p>
    <w:p w14:paraId="205EBD4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fina = pd.read_csv('data/fina_indicator.csv')</w:t>
      </w:r>
    </w:p>
    <w:p w14:paraId="204132E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2F2687B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try:</w:t>
      </w:r>
    </w:p>
    <w:p w14:paraId="3C2FCF6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income = pd.read_csv('data/income_compare.csv')</w:t>
      </w:r>
    </w:p>
    <w:p w14:paraId="3613ADC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except:</w:t>
      </w:r>
    </w:p>
    <w:p w14:paraId="30D5512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income = None</w:t>
      </w:r>
    </w:p>
    <w:p w14:paraId="3219616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56DF2CD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with open('data/news_titles.txt', 'r', encoding='utf-8') as f:</w:t>
      </w:r>
    </w:p>
    <w:p w14:paraId="3B000B3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news_titles = [line.strip() for line in f if line.strip()]</w:t>
      </w:r>
    </w:p>
    <w:p w14:paraId="18278C9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67194CA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 图1: 柱状图 —— 各行业上市公司数量TOP15 ====================</w:t>
      </w:r>
    </w:p>
    <w:p w14:paraId="7164C84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print('[1/10] 柱状图 —— 行业公司数量TOP15')</w:t>
      </w:r>
    </w:p>
    <w:p w14:paraId="014065A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industry_count = stock_basic['industry'].value_counts().head(15)</w:t>
      </w:r>
    </w:p>
    <w:p w14:paraId="77F0DB6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fig, ax = plt.subplots(figsize=(10, 6))</w:t>
      </w:r>
    </w:p>
    <w:p w14:paraId="597D7A18">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colors = plt.cm.Blues(np.linspace(0.4, 0.9, len(industry_count)))</w:t>
      </w:r>
    </w:p>
    <w:p w14:paraId="779DDD6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ax.bar(range(len(industry_count)), industry_count.values, color=colors)</w:t>
      </w:r>
    </w:p>
    <w:p w14:paraId="3F36ED6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ax.set_xticks(range(len(industry_count)))</w:t>
      </w:r>
    </w:p>
    <w:p w14:paraId="14F3389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ax.set_xticklabels(industry_count.index, rotation=45, ha='right', fontsize=9)</w:t>
      </w:r>
    </w:p>
    <w:p w14:paraId="4D92334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ax.set_xlabel('行业')</w:t>
      </w:r>
    </w:p>
    <w:p w14:paraId="62CFC89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ax.set_ylabel('上市公司数量')</w:t>
      </w:r>
    </w:p>
    <w:p w14:paraId="70BCC0A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ax.set_title('A股各行业上市公司数量 TOP15（柱状图）')</w:t>
      </w:r>
    </w:p>
    <w:p w14:paraId="291BABC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for i, v in enumerate(industry_count.values):</w:t>
      </w:r>
    </w:p>
    <w:p w14:paraId="184C955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ax.text(i, v + 2, str(v), ha='center', fontsize=8)</w:t>
      </w:r>
    </w:p>
    <w:p w14:paraId="7A2C35C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plt.tight_layout()</w:t>
      </w:r>
    </w:p>
    <w:p w14:paraId="467FA28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plt.savefig('output/01_bar_industry.png', dpi=150)</w:t>
      </w:r>
    </w:p>
    <w:p w14:paraId="2BE2275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plt.close()</w:t>
      </w:r>
    </w:p>
    <w:p w14:paraId="48D7E19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75C9EED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 图2: 条形图 —— 各地区上市公司数量TOP15 ====================</w:t>
      </w:r>
    </w:p>
    <w:p w14:paraId="592F492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print('[2/10] 条形图 —— 地区公司数量TOP15')</w:t>
      </w:r>
    </w:p>
    <w:p w14:paraId="479C28F8">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area_count = stock_basic['area'].value_counts().head(15)</w:t>
      </w:r>
    </w:p>
    <w:p w14:paraId="3A3D3B1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fig, ax = plt.subplots(figsize=(10, 6))</w:t>
      </w:r>
    </w:p>
    <w:p w14:paraId="0C62441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colors = plt.cm.Oranges(np.linspace(0.4, 0.9, len(area_count)))</w:t>
      </w:r>
    </w:p>
    <w:p w14:paraId="6369D7E9">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y_pos = range(len(area_count))</w:t>
      </w:r>
    </w:p>
    <w:p w14:paraId="31934B69">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ax.barh(y_pos, area_count.values[::-1], color=colors)</w:t>
      </w:r>
    </w:p>
    <w:p w14:paraId="22FC21A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ax.set_yticks(y_pos)</w:t>
      </w:r>
    </w:p>
    <w:p w14:paraId="744E893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ax.set_yticklabels(area_count.index[::-1], fontsize=9)</w:t>
      </w:r>
    </w:p>
    <w:p w14:paraId="56CF4946">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ax.set_xlabel('上市公司数量')</w:t>
      </w:r>
    </w:p>
    <w:p w14:paraId="1E8E228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ax.set_title('各省市上市公司数量 TOP15（条形图）')</w:t>
      </w:r>
    </w:p>
    <w:p w14:paraId="0AEF4BE8">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for i, v in enumerate(area_count.values[::-1]):</w:t>
      </w:r>
    </w:p>
    <w:p w14:paraId="365C483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ax.text(v + 1, i, str(v), va='center', fontsize=8)</w:t>
      </w:r>
    </w:p>
    <w:p w14:paraId="06BC6F69">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plt.tight_layout()</w:t>
      </w:r>
    </w:p>
    <w:p w14:paraId="45C4C72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plt.savefig('output/02_barh_area.png', dpi=150)</w:t>
      </w:r>
    </w:p>
    <w:p w14:paraId="5041E2B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plt.close()</w:t>
      </w:r>
    </w:p>
    <w:p w14:paraId="2E86648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4D4F50F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 图3: 折线图 —— 贵州茅台收盘价走势 ====================</w:t>
      </w:r>
    </w:p>
    <w:p w14:paraId="1454C71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print('[3/10] 折线图 —— 茅台收盘价走势')</w:t>
      </w:r>
    </w:p>
    <w:p w14:paraId="158ADD8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fig, ax = plt.subplots(figsize=(12, 5))</w:t>
      </w:r>
    </w:p>
    <w:p w14:paraId="60E5D8A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ax.plot(daily['trade_date'], daily['close'], color='#e74c3c', linewidth=1.2, label='收盘价')</w:t>
      </w:r>
    </w:p>
    <w:p w14:paraId="5D72126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ax.fill_between(daily['trade_date'], daily['close'], alpha=0.15, color='#e74c3c')</w:t>
      </w:r>
    </w:p>
    <w:p w14:paraId="11C25C0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ax.set_xlabel('日期')</w:t>
      </w:r>
    </w:p>
    <w:p w14:paraId="4359C7C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ax.set_ylabel('收盘价（元）')</w:t>
      </w:r>
    </w:p>
    <w:p w14:paraId="7AA7D6A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ax.set_title('贵州茅台(600519) 收盘价走势（折线图）')</w:t>
      </w:r>
    </w:p>
    <w:p w14:paraId="06259E0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ax.legend()</w:t>
      </w:r>
    </w:p>
    <w:p w14:paraId="5CAFBBE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ax.grid(alpha=0.3)</w:t>
      </w:r>
    </w:p>
    <w:p w14:paraId="067B3F8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plt.tight_layout()</w:t>
      </w:r>
    </w:p>
    <w:p w14:paraId="621886F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plt.savefig('output/03_line_close.png', dpi=150)</w:t>
      </w:r>
    </w:p>
    <w:p w14:paraId="171F6EC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plt.close()</w:t>
      </w:r>
    </w:p>
    <w:p w14:paraId="2ED1E81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30C33C9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 图4: 散点图 —— 成交量与涨跌幅 ====================</w:t>
      </w:r>
    </w:p>
    <w:p w14:paraId="3E9C777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print('[4/10] 散点图 —— 成交量与涨跌幅')</w:t>
      </w:r>
    </w:p>
    <w:p w14:paraId="57A85B0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fig, ax = plt.subplots(figsize=(10, 6))</w:t>
      </w:r>
    </w:p>
    <w:p w14:paraId="1219923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pct = daily['pct_chg']</w:t>
      </w:r>
    </w:p>
    <w:p w14:paraId="70D0574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vol = daily['vol']</w:t>
      </w:r>
    </w:p>
    <w:p w14:paraId="0434A21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colors_scatter = np.where(pct &gt;= 0, '#e74c3c', '#2ecc71')</w:t>
      </w:r>
    </w:p>
    <w:p w14:paraId="3FB1BEA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ax.scatter(vol, pct, c=colors_scatter, alpha=0.5, s=15, edgecolors='none')</w:t>
      </w:r>
    </w:p>
    <w:p w14:paraId="63E516E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ax.axhline(y=0, color='gray', linestyle='--', alpha=0.5)</w:t>
      </w:r>
    </w:p>
    <w:p w14:paraId="17E0053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ax.set_xlabel('成交量（手）')</w:t>
      </w:r>
    </w:p>
    <w:p w14:paraId="041987A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ax.set_ylabel('涨跌幅（%）')</w:t>
      </w:r>
    </w:p>
    <w:p w14:paraId="3E96AF4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ax.set_title('贵州茅台 成交量与涨跌幅关系（散点图）')</w:t>
      </w:r>
    </w:p>
    <w:p w14:paraId="160E1EB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ax.grid(alpha=0.3)</w:t>
      </w:r>
    </w:p>
    <w:p w14:paraId="3051F469">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plt.tight_layout()</w:t>
      </w:r>
    </w:p>
    <w:p w14:paraId="259F605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plt.savefig('output/04_scatter_vol_pct.png', dpi=150)</w:t>
      </w:r>
    </w:p>
    <w:p w14:paraId="260AE9C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plt.close()</w:t>
      </w:r>
    </w:p>
    <w:p w14:paraId="0F36F43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431A6B9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 图5: 饼图 —— 上市板块分布 ====================</w:t>
      </w:r>
    </w:p>
    <w:p w14:paraId="50F74AB8">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print('[5/10] 饼图 —— 上市板块分布')</w:t>
      </w:r>
    </w:p>
    <w:p w14:paraId="251C0EC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market_count = stock_basic['market'].value_counts()</w:t>
      </w:r>
    </w:p>
    <w:p w14:paraId="09717F3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fig, ax = plt.subplots(figsize=(8, 8))</w:t>
      </w:r>
    </w:p>
    <w:p w14:paraId="1D87197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colors_pie = ['#3498db', '#e74c3c', '#2ecc71', '#f39c12', '#9b59b6', '#1abc9c']</w:t>
      </w:r>
    </w:p>
    <w:p w14:paraId="1D11E83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explode = [0.03] * len(market_count)</w:t>
      </w:r>
    </w:p>
    <w:p w14:paraId="25D3E28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ax.pie(market_count.values, labels=market_count.index, autopct='%1.1f%%',</w:t>
      </w:r>
    </w:p>
    <w:p w14:paraId="41E94CF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colors=colors_pie[:len(market_count)], explode=explode, startangle=90,</w:t>
      </w:r>
    </w:p>
    <w:p w14:paraId="6F57622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textprops={'fontsize': 10})</w:t>
      </w:r>
    </w:p>
    <w:p w14:paraId="19C776A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ax.set_title('A股上市公司板块分布（饼图）')</w:t>
      </w:r>
    </w:p>
    <w:p w14:paraId="4D9C807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plt.tight_layout()</w:t>
      </w:r>
    </w:p>
    <w:p w14:paraId="56514A5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plt.savefig('output/05_pie_market.png', dpi=150)</w:t>
      </w:r>
    </w:p>
    <w:p w14:paraId="107656E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plt.close()</w:t>
      </w:r>
    </w:p>
    <w:p w14:paraId="48BB2C8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780572B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 图6: 环形图 —— 茅台财务指标结构 ====================</w:t>
      </w:r>
    </w:p>
    <w:p w14:paraId="6878F7D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print('[6/10] 环形图 —— 行业TOP5占比')</w:t>
      </w:r>
    </w:p>
    <w:p w14:paraId="15543C6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top5 = stock_basic['industry'].value_counts().head(5)</w:t>
      </w:r>
    </w:p>
    <w:p w14:paraId="3225897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others = stock_basic['industry'].value_counts()[5:].sum()</w:t>
      </w:r>
    </w:p>
    <w:p w14:paraId="13AF10C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labels = list(top5.index) + ['其他行业']</w:t>
      </w:r>
    </w:p>
    <w:p w14:paraId="5130B4F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values = list(top5.values) + [others]</w:t>
      </w:r>
    </w:p>
    <w:p w14:paraId="0BAC29E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fig, ax = plt.subplots(figsize=(8, 8))</w:t>
      </w:r>
    </w:p>
    <w:p w14:paraId="5CA9497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colors_donut = ['#3498db', '#e74c3c', '#2ecc71', '#f39c12', '#9b59b6', '#bdc3c7']</w:t>
      </w:r>
    </w:p>
    <w:p w14:paraId="62E4FBE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wedges, texts, autotexts = ax.pie(values, labels=labels, autopct='%1.1f%%',</w:t>
      </w:r>
    </w:p>
    <w:p w14:paraId="162CB72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colors=colors_donut, startangle=90,</w:t>
      </w:r>
    </w:p>
    <w:p w14:paraId="4BABCEF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pctdistance=0.82, textprops={'fontsize': 9})</w:t>
      </w:r>
    </w:p>
    <w:p w14:paraId="7814134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centre = plt.Circle((0, 0), 0.60, fc='white')</w:t>
      </w:r>
    </w:p>
    <w:p w14:paraId="0F77CE5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ax.add_artist(centre)</w:t>
      </w:r>
    </w:p>
    <w:p w14:paraId="12C2E648">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ax.set_title('A股行业分布TOP5占比（环形图）')</w:t>
      </w:r>
    </w:p>
    <w:p w14:paraId="1889D30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plt.tight_layout()</w:t>
      </w:r>
    </w:p>
    <w:p w14:paraId="4354640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plt.savefig('output/06_donut_industry.png', dpi=150)</w:t>
      </w:r>
    </w:p>
    <w:p w14:paraId="5D289B68">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plt.close()</w:t>
      </w:r>
    </w:p>
    <w:p w14:paraId="4FA42FD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5E3615A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 图7: 时间序列图 —— 股价+均线 ====================</w:t>
      </w:r>
    </w:p>
    <w:p w14:paraId="5D5D2AC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print('[7/10] 时间序列图 —— 股价与均线')</w:t>
      </w:r>
    </w:p>
    <w:p w14:paraId="1C38E70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fig, ax1 = plt.subplots(figsize=(12, 6))</w:t>
      </w:r>
    </w:p>
    <w:p w14:paraId="296D195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daily['MA5'] = daily['close'].rolling(5).mean()</w:t>
      </w:r>
    </w:p>
    <w:p w14:paraId="2F30693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daily['MA20'] = daily['close'].rolling(20).mean()</w:t>
      </w:r>
    </w:p>
    <w:p w14:paraId="59DC5DF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daily['MA60'] = daily['close'].rolling(60).mean()</w:t>
      </w:r>
    </w:p>
    <w:p w14:paraId="5F899D3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ax1.plot(daily['trade_date'], daily['close'], linewidth=1, label='收盘价', alpha=0.8)</w:t>
      </w:r>
    </w:p>
    <w:p w14:paraId="38B27578">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ax1.plot(daily['trade_date'], daily['MA5'], linewidth=0.8, label='MA5', linestyle='--')</w:t>
      </w:r>
    </w:p>
    <w:p w14:paraId="3920377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ax1.plot(daily['trade_date'], daily['MA20'], linewidth=0.8, label='MA20', linestyle='-.')</w:t>
      </w:r>
    </w:p>
    <w:p w14:paraId="79197D4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ax1.plot(daily['trade_date'], daily['MA60'], linewidth=0.8, label='MA60', linestyle=':')</w:t>
      </w:r>
    </w:p>
    <w:p w14:paraId="5F13B1C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ax2 = ax1.twinx()</w:t>
      </w:r>
    </w:p>
    <w:p w14:paraId="6428FC0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ax2.bar(daily['trade_date'], daily['vol'], alpha=0.2, color='gray', width=1, label='成交量')</w:t>
      </w:r>
    </w:p>
    <w:p w14:paraId="53064CA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ax2.set_ylabel('成交量（手）')</w:t>
      </w:r>
    </w:p>
    <w:p w14:paraId="0E996F7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ax1.set_xlabel('日期')</w:t>
      </w:r>
    </w:p>
    <w:p w14:paraId="7257F05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ax1.set_ylabel('价格（元）')</w:t>
      </w:r>
    </w:p>
    <w:p w14:paraId="741FDE0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ax1.set_title('贵州茅台 股价与均线时间序列图')</w:t>
      </w:r>
    </w:p>
    <w:p w14:paraId="495649B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ax1.legend(loc='upper left')</w:t>
      </w:r>
    </w:p>
    <w:p w14:paraId="0193FB9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ax1.grid(alpha=0.3)</w:t>
      </w:r>
    </w:p>
    <w:p w14:paraId="7F6E9D7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plt.tight_layout()</w:t>
      </w:r>
    </w:p>
    <w:p w14:paraId="3A08EAE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plt.savefig('output/07_timeseries_ma.png', dpi=150)</w:t>
      </w:r>
    </w:p>
    <w:p w14:paraId="599EFD3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plt.close()</w:t>
      </w:r>
    </w:p>
    <w:p w14:paraId="7778F189">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632614C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 图8: 地理空间图 —— 各省上市公司数量 ====================</w:t>
      </w:r>
    </w:p>
    <w:p w14:paraId="334CE46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print('[8/10] 地理空间图 —— 各省上市公司分布')</w:t>
      </w:r>
    </w:p>
    <w:p w14:paraId="7690903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province_coords = {</w:t>
      </w:r>
    </w:p>
    <w:p w14:paraId="3D656E4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'北京': (116.4, 39.9), '上海': (121.5, 31.2), '广东': (113.3, 23.1),</w:t>
      </w:r>
    </w:p>
    <w:p w14:paraId="131FCC6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'浙江': (120.2, 30.3), '江苏': (118.8, 32.1), '山东': (117.0, 36.7),</w:t>
      </w:r>
    </w:p>
    <w:p w14:paraId="0BBF96F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'福建': (119.3, 26.1), '四川': (104.1, 30.6), '湖北': (114.3, 30.6),</w:t>
      </w:r>
    </w:p>
    <w:p w14:paraId="1BEA017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'湖南': (113.0, 28.2), '安徽': (117.3, 31.8), '河南': (113.6, 34.8),</w:t>
      </w:r>
    </w:p>
    <w:p w14:paraId="25C11EA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'河北': (114.5, 38.0), '辽宁': (123.4, 41.8), '天津': (117.2, 39.1),</w:t>
      </w:r>
    </w:p>
    <w:p w14:paraId="2FFDACE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'重庆': (106.5, 29.5), '陕西': (108.9, 34.3), '江西': (115.9, 28.7),</w:t>
      </w:r>
    </w:p>
    <w:p w14:paraId="6B5CFEB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'吉林': (125.3, 43.9), '黑龙江': (126.6, 45.8), '山西': (112.5, 37.9),</w:t>
      </w:r>
    </w:p>
    <w:p w14:paraId="2419A2A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'云南': (102.7, 25.0), '贵州': (106.7, 26.6), '甘肃': (103.8, 36.1),</w:t>
      </w:r>
    </w:p>
    <w:p w14:paraId="5553878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'广西': (108.3, 22.8), '海南': (110.3, 20.0), '内蒙古': (111.7, 40.8),</w:t>
      </w:r>
    </w:p>
    <w:p w14:paraId="1B9C950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'新疆': (87.6, 43.8), '宁夏': (106.3, 38.5), '青海': (101.8, 36.6),</w:t>
      </w:r>
    </w:p>
    <w:p w14:paraId="0A4649E8">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'西藏': (91.1, 29.7), '深圳': (114.1, 22.5),</w:t>
      </w:r>
    </w:p>
    <w:p w14:paraId="15B26C1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w:t>
      </w:r>
    </w:p>
    <w:p w14:paraId="1FD97B6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area_counts = stock_basic['area'].value_counts()</w:t>
      </w:r>
    </w:p>
    <w:p w14:paraId="26B1A116">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fig, ax = plt.subplots(figsize=(12, 8))</w:t>
      </w:r>
    </w:p>
    <w:p w14:paraId="75471CD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ax.set_xlim(73, 136)</w:t>
      </w:r>
    </w:p>
    <w:p w14:paraId="0EC244C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ax.set_ylim(17, 54)</w:t>
      </w:r>
    </w:p>
    <w:p w14:paraId="03B03F7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for area, count in area_counts.items():</w:t>
      </w:r>
    </w:p>
    <w:p w14:paraId="44C0EDD6">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if area in province_coords:</w:t>
      </w:r>
    </w:p>
    <w:p w14:paraId="7A65A87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lon, lat = province_coords[area]</w:t>
      </w:r>
    </w:p>
    <w:p w14:paraId="61620948">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size = max(count * 0.8, 15)</w:t>
      </w:r>
    </w:p>
    <w:p w14:paraId="1B8D2016">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ax.scatter(lon, lat, s=size, c='#e74c3c', alpha=0.6, edgecolors='#c0392b', linewidth=0.5)</w:t>
      </w:r>
    </w:p>
    <w:p w14:paraId="4B63A8A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ax.text(lon, lat + 0.8, f'{area}\n{count}', ha='center', fontsize=6)</w:t>
      </w:r>
    </w:p>
    <w:p w14:paraId="350590B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ax.set_xlabel('经度')</w:t>
      </w:r>
    </w:p>
    <w:p w14:paraId="1EFE99A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ax.set_ylabel('纬度')</w:t>
      </w:r>
    </w:p>
    <w:p w14:paraId="41392CA8">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ax.set_title('中国各省市上市公司数量地理分布（地理空间图）')</w:t>
      </w:r>
    </w:p>
    <w:p w14:paraId="65CFBDD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ax.set_facecolor('#f0f8ff')</w:t>
      </w:r>
    </w:p>
    <w:p w14:paraId="3402B95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ax.grid(alpha=0.2)</w:t>
      </w:r>
    </w:p>
    <w:p w14:paraId="24379D3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plt.tight_layout()</w:t>
      </w:r>
    </w:p>
    <w:p w14:paraId="41CEE35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plt.savefig('output/08_geo_distribution.png', dpi=150)</w:t>
      </w:r>
    </w:p>
    <w:p w14:paraId="79C1B24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plt.close()</w:t>
      </w:r>
    </w:p>
    <w:p w14:paraId="76AD7B8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1AB166E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 图9: 动态可视化 —— 股价变化动画 ====================</w:t>
      </w:r>
    </w:p>
    <w:p w14:paraId="1BBD4D3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print('[9/10] 数据变化动态可视化图 —— 股价动画')</w:t>
      </w:r>
    </w:p>
    <w:p w14:paraId="304E930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sample = daily.tail(120).reset_index(drop=True)</w:t>
      </w:r>
    </w:p>
    <w:p w14:paraId="5C4B2E9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fig, ax = plt.subplots(figsize=(10, 5))</w:t>
      </w:r>
    </w:p>
    <w:p w14:paraId="24314A0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50B78BF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def animate(i):</w:t>
      </w:r>
    </w:p>
    <w:p w14:paraId="1205983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ax.clear()</w:t>
      </w:r>
    </w:p>
    <w:p w14:paraId="6714867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data = sample.iloc[:i+1]</w:t>
      </w:r>
    </w:p>
    <w:p w14:paraId="2F40A3A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ax.plot(data['trade_date'], data['close'], color='#e74c3c', linewidth=1.5)</w:t>
      </w:r>
    </w:p>
    <w:p w14:paraId="7932CF7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ax.fill_between(data['trade_date'], data['close'], alpha=0.1, color='#e74c3c')</w:t>
      </w:r>
    </w:p>
    <w:p w14:paraId="354A9D3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if len(data) &gt; 0:</w:t>
      </w:r>
    </w:p>
    <w:p w14:paraId="0FF7AEA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ax.scatter(data['trade_date'].iloc[-1], data['close'].iloc[-1],</w:t>
      </w:r>
    </w:p>
    <w:p w14:paraId="38DAB3C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color='#e74c3c', s=50, zorder=5)</w:t>
      </w:r>
    </w:p>
    <w:p w14:paraId="0ACFB918">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ax.text(data['trade_date'].iloc[-1], data['close'].iloc[-1] * 1.01,</w:t>
      </w:r>
    </w:p>
    <w:p w14:paraId="47972E8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f'{data["close"].iloc[-1]:.1f}', ha='center', fontsize=9)</w:t>
      </w:r>
    </w:p>
    <w:p w14:paraId="24D9A6C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ax.set_xlim(sample['trade_date'].iloc[0], sample['trade_date'].iloc[-1])</w:t>
      </w:r>
    </w:p>
    <w:p w14:paraId="59DFAB46">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ax.set_ylim(sample['close'].min() * 0.95, sample['close'].max() * 1.05)</w:t>
      </w:r>
    </w:p>
    <w:p w14:paraId="7F06A1C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ax.set_title('贵州茅台 近期股价变化动态图')</w:t>
      </w:r>
    </w:p>
    <w:p w14:paraId="0FBEE6F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ax.set_xlabel('日期')</w:t>
      </w:r>
    </w:p>
    <w:p w14:paraId="3EAD432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ax.set_ylabel('收盘价（元）')</w:t>
      </w:r>
    </w:p>
    <w:p w14:paraId="104A8BE9">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ax.grid(alpha=0.3)</w:t>
      </w:r>
    </w:p>
    <w:p w14:paraId="1C4B481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04070F3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ani = animation.FuncAnimation(fig, animate, frames=len(sample), interval=50, repeat=False)</w:t>
      </w:r>
    </w:p>
    <w:p w14:paraId="015323F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ani.save('output/09_dynamic_price.gif', writer='pillow', fps=15)</w:t>
      </w:r>
    </w:p>
    <w:p w14:paraId="6C8B778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plt.close()</w:t>
      </w:r>
    </w:p>
    <w:p w14:paraId="08F7911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234A9B9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 图10: 词云 —— 财经新闻关键词 ====================</w:t>
      </w:r>
    </w:p>
    <w:p w14:paraId="1FB8CB8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print('[10/10] 词云 —— 财经新闻关键词')</w:t>
      </w:r>
    </w:p>
    <w:p w14:paraId="2DEF88D6">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text_all = ' '.join(news_titles)</w:t>
      </w:r>
    </w:p>
    <w:p w14:paraId="055BA6C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words = jieba.lcut(text_all)</w:t>
      </w:r>
    </w:p>
    <w:p w14:paraId="6CCA7D9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stopwords = {'的', '了', '在', '是', '和', '与', '对', '为', '等', '中',</w:t>
      </w:r>
    </w:p>
    <w:p w14:paraId="3E392E8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'将', '从', '也', '到', '被', '上', '下', '不', '有', '已',</w:t>
      </w:r>
    </w:p>
    <w:p w14:paraId="730651B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'这', '那', '我', '你', '他', '她', '它', '们', '着', '过'}</w:t>
      </w:r>
    </w:p>
    <w:p w14:paraId="59230F8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words = [w for w in words if len(w) &gt;= 2 and w not in stopwords]</w:t>
      </w:r>
    </w:p>
    <w:p w14:paraId="4CBCEF7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word_text = ' '.join(words)</w:t>
      </w:r>
    </w:p>
    <w:p w14:paraId="6483E49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wc = WordCloud(font_path='C:/Windows/Fonts/simhei.ttf',</w:t>
      </w:r>
    </w:p>
    <w:p w14:paraId="2A0BA84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width=1000, height=600,</w:t>
      </w:r>
    </w:p>
    <w:p w14:paraId="7B2BC3B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background_color='white',</w:t>
      </w:r>
    </w:p>
    <w:p w14:paraId="55B0B989">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max_words=100,</w:t>
      </w:r>
    </w:p>
    <w:p w14:paraId="2176DF96">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colormap='RdYlBu',</w:t>
      </w:r>
    </w:p>
    <w:p w14:paraId="36861AC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max_font_size=120,</w:t>
      </w:r>
    </w:p>
    <w:p w14:paraId="3216F48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random_state=42)</w:t>
      </w:r>
    </w:p>
    <w:p w14:paraId="558685F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wc.generate(word_text)</w:t>
      </w:r>
    </w:p>
    <w:p w14:paraId="1118D68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fig, ax = plt.subplots(figsize=(12, 7))</w:t>
      </w:r>
    </w:p>
    <w:p w14:paraId="569A795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ax.imshow(wc, interpolation='bilinear')</w:t>
      </w:r>
    </w:p>
    <w:p w14:paraId="09FA1866">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ax.axis('off')</w:t>
      </w:r>
    </w:p>
    <w:p w14:paraId="0AFA084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ax.set_title('财经新闻关键词词云', fontsize=16, pad=15)</w:t>
      </w:r>
    </w:p>
    <w:p w14:paraId="7870BA9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plt.tight_layout()</w:t>
      </w:r>
    </w:p>
    <w:p w14:paraId="4EE9225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plt.savefig('output/10_wordcloud.png', dpi=150)</w:t>
      </w:r>
    </w:p>
    <w:p w14:paraId="63BE665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plt.close()</w:t>
      </w:r>
    </w:p>
    <w:p w14:paraId="1B8F441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5049CE2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 全部10张可视化图表已保存至 output/ 文件夹！')</w:t>
      </w:r>
    </w:p>
    <w:p w14:paraId="677152D2">
      <w:pPr>
        <w:pStyle w:val="3"/>
        <w:bidi w:val="0"/>
        <w:rPr>
          <w:rFonts w:hint="eastAsia"/>
          <w:lang w:val="en-US" w:eastAsia="zh-CN"/>
        </w:rPr>
      </w:pPr>
      <w:bookmarkStart w:id="57" w:name="_Toc31248"/>
      <w:bookmarkStart w:id="58" w:name="_Toc14872"/>
      <w:r>
        <w:rPr>
          <w:rFonts w:hint="eastAsia"/>
          <w:lang w:val="en-US" w:eastAsia="zh-CN"/>
        </w:rPr>
        <w:t>8.4 ARIMA预测代码（4_prediction.py）</w:t>
      </w:r>
      <w:bookmarkEnd w:id="57"/>
      <w:bookmarkEnd w:id="58"/>
    </w:p>
    <w:p w14:paraId="500C31C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import os</w:t>
      </w:r>
    </w:p>
    <w:p w14:paraId="5D9D0EB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import pandas as pd</w:t>
      </w:r>
    </w:p>
    <w:p w14:paraId="5652D9C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import numpy as np</w:t>
      </w:r>
    </w:p>
    <w:p w14:paraId="5B40DCE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import matplotlib</w:t>
      </w:r>
    </w:p>
    <w:p w14:paraId="32BCF74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matplotlib.use('Agg')</w:t>
      </w:r>
    </w:p>
    <w:p w14:paraId="0DB239F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import matplotlib.pyplot as plt</w:t>
      </w:r>
    </w:p>
    <w:p w14:paraId="1CAB3EE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from statsmodels.tsa.arima.model import ARIMA</w:t>
      </w:r>
    </w:p>
    <w:p w14:paraId="78FD63B8">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from statsmodels.tsa.stattools import adfuller</w:t>
      </w:r>
    </w:p>
    <w:p w14:paraId="1E296C0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import warnings</w:t>
      </w:r>
    </w:p>
    <w:p w14:paraId="730B4A7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warnings.filterwarnings('ignore')</w:t>
      </w:r>
    </w:p>
    <w:p w14:paraId="54947DE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4B968AF8">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plt.rcParams['font.sans-serif'] = ['SimHei']</w:t>
      </w:r>
    </w:p>
    <w:p w14:paraId="5041DB1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plt.rcParams['axes.unicode_minus'] = False</w:t>
      </w:r>
    </w:p>
    <w:p w14:paraId="0877455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372125E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os.makedirs('output', exist_ok=True)</w:t>
      </w:r>
    </w:p>
    <w:p w14:paraId="758887B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2792A7C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 1. 加载数据 ====================</w:t>
      </w:r>
    </w:p>
    <w:p w14:paraId="1E17ABE6">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print('[1] 加载贵州茅台日线数据...')</w:t>
      </w:r>
    </w:p>
    <w:p w14:paraId="66AE739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daily = pd.read_csv('data/daily_600519.csv')</w:t>
      </w:r>
    </w:p>
    <w:p w14:paraId="4C4A5A1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daily['trade_date'] = pd.to_datetime(daily['trade_date'], format='%Y%m%d')</w:t>
      </w:r>
    </w:p>
    <w:p w14:paraId="7FBADFE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daily = daily.sort_values('trade_date').reset_index(drop=True)</w:t>
      </w:r>
    </w:p>
    <w:p w14:paraId="7C8B3F6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daily.set_index('trade_date', inplace=True)</w:t>
      </w:r>
    </w:p>
    <w:p w14:paraId="7A53A64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close = daily['close']</w:t>
      </w:r>
    </w:p>
    <w:p w14:paraId="3FA8404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print(f'    数据范围: {close.index[0].date()} ~ {close.index[-1].date()}, 共 {len(close)} 条')</w:t>
      </w:r>
    </w:p>
    <w:p w14:paraId="045DDC8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3DFDA0E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 2. 平稳性检验 ====================</w:t>
      </w:r>
    </w:p>
    <w:p w14:paraId="1926D34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print('[2] ADF 平稳性检验...')</w:t>
      </w:r>
    </w:p>
    <w:p w14:paraId="508E787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adf_result = adfuller(close.dropna())</w:t>
      </w:r>
    </w:p>
    <w:p w14:paraId="056163C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print(f'    ADF统计量: {adf_result[0]:.4f}')</w:t>
      </w:r>
    </w:p>
    <w:p w14:paraId="366AD35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print(f'    p值: {adf_result[1]:.4f}')</w:t>
      </w:r>
    </w:p>
    <w:p w14:paraId="2DA998F6">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if adf_result[1] &gt; 0.05:</w:t>
      </w:r>
    </w:p>
    <w:p w14:paraId="0A2BFE06">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print('    → 序列非平稳，进行差分处理')</w:t>
      </w:r>
    </w:p>
    <w:p w14:paraId="6F939AC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d_order = 1</w:t>
      </w:r>
    </w:p>
    <w:p w14:paraId="1823AA6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else:</w:t>
      </w:r>
    </w:p>
    <w:p w14:paraId="708BAD2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print('    → 序列平稳')</w:t>
      </w:r>
    </w:p>
    <w:p w14:paraId="55FB2A0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d_order = 0</w:t>
      </w:r>
    </w:p>
    <w:p w14:paraId="1E73E98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1717DBF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 3. ARIMA 建模与预测 ====================</w:t>
      </w:r>
    </w:p>
    <w:p w14:paraId="3EF4B2D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print('[3] ARIMA 模型训练...')</w:t>
      </w:r>
    </w:p>
    <w:p w14:paraId="52B00BF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train_size = int(len(close) * 0.85)</w:t>
      </w:r>
    </w:p>
    <w:p w14:paraId="29C9C72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train = close[:train_size]</w:t>
      </w:r>
    </w:p>
    <w:p w14:paraId="506BD95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test = close[train_size:]</w:t>
      </w:r>
    </w:p>
    <w:p w14:paraId="258ACB8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print(f'    训练集: {len(train)} 条, 测试集: {len(test)} 条')</w:t>
      </w:r>
    </w:p>
    <w:p w14:paraId="01AAA7F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478C47B9">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model = ARIMA(train, order=(5, d_order, 2))</w:t>
      </w:r>
    </w:p>
    <w:p w14:paraId="1A3A7F48">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fitted = model.fit()</w:t>
      </w:r>
    </w:p>
    <w:p w14:paraId="699E9999">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print(f'    AIC: {fitted.aic:.2f}')</w:t>
      </w:r>
    </w:p>
    <w:p w14:paraId="4925DA2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print(f'    BIC: {fitted.bic:.2f}')</w:t>
      </w:r>
    </w:p>
    <w:p w14:paraId="24C0F65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18CC6696">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预测测试集</w:t>
      </w:r>
    </w:p>
    <w:p w14:paraId="012BFD0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pred = fitted.forecast(steps=len(test))</w:t>
      </w:r>
    </w:p>
    <w:p w14:paraId="56413FB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pred.index = test.index</w:t>
      </w:r>
    </w:p>
    <w:p w14:paraId="3DE4AAB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4656DBB6">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未来30个交易日预测</w:t>
      </w:r>
    </w:p>
    <w:p w14:paraId="62A8083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future_model = ARIMA(close, order=(5, d_order, 2))</w:t>
      </w:r>
    </w:p>
    <w:p w14:paraId="0CC6FA4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future_fitted = future_model.fit()</w:t>
      </w:r>
    </w:p>
    <w:p w14:paraId="5492442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future_pred = future_fitted.forecast(steps=30)</w:t>
      </w:r>
    </w:p>
    <w:p w14:paraId="7107B3C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生成未来交易日日期索引</w:t>
      </w:r>
    </w:p>
    <w:p w14:paraId="04B3ECC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last_date = close.index[-1]</w:t>
      </w:r>
    </w:p>
    <w:p w14:paraId="5677BF0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future_dates = pd.bdate_range(start=last_date + pd.Timedelta(days=1), periods=30)</w:t>
      </w:r>
    </w:p>
    <w:p w14:paraId="77C02DB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future_pred.index = future_dates</w:t>
      </w:r>
    </w:p>
    <w:p w14:paraId="52AB6E0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6D7EC2F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 4. 评估指标 ====================</w:t>
      </w:r>
    </w:p>
    <w:p w14:paraId="45D9E9F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print('[4] 模型评估...')</w:t>
      </w:r>
    </w:p>
    <w:p w14:paraId="05D5E06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mae = np.mean(np.abs(test.values - pred.values))</w:t>
      </w:r>
    </w:p>
    <w:p w14:paraId="4294A9E9">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rmse = np.sqrt(np.mean((test.values - pred.values) ** 2))</w:t>
      </w:r>
    </w:p>
    <w:p w14:paraId="17D15E4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mape = np.mean(np.abs((test.values - pred.values) / test.values)) * 100</w:t>
      </w:r>
    </w:p>
    <w:p w14:paraId="3CB16F2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print(f'    MAE  = {mae:.2f}')</w:t>
      </w:r>
    </w:p>
    <w:p w14:paraId="048E1776">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print(f'    RMSE = {rmse:.2f}')</w:t>
      </w:r>
    </w:p>
    <w:p w14:paraId="278F26C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print(f'    MAPE = {mape:.2f}%')</w:t>
      </w:r>
    </w:p>
    <w:p w14:paraId="73D1D1B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22BB368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 5. 可视化预测结果 ====================</w:t>
      </w:r>
    </w:p>
    <w:p w14:paraId="242C5B9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print('[5] 生成预测结果图表...')</w:t>
      </w:r>
    </w:p>
    <w:p w14:paraId="4C50D2B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37494296">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图1: 训练集 + 测试集 + 预测对比</w:t>
      </w:r>
    </w:p>
    <w:p w14:paraId="036D10F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fig, ax = plt.subplots(figsize=(14, 6))</w:t>
      </w:r>
    </w:p>
    <w:p w14:paraId="62AA053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ax.plot(train.index, train, label='训练集', color='#3498db', linewidth=1)</w:t>
      </w:r>
    </w:p>
    <w:p w14:paraId="456842C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ax.plot(test.index, test, label='测试集（真实值）', color='#2ecc71', linewidth=1.2)</w:t>
      </w:r>
    </w:p>
    <w:p w14:paraId="38A7AFA8">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ax.plot(pred.index, pred, label='ARIMA预测值', color='#e74c3c', linewidth=1.2, linestyle='--')</w:t>
      </w:r>
    </w:p>
    <w:p w14:paraId="2CB1DF68">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ax.axvline(x=test.index[0], color='gray', linestyle=':', alpha=0.5)</w:t>
      </w:r>
    </w:p>
    <w:p w14:paraId="0D43603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ax.fill_between(pred.index, pred * 0.95, pred * 1.05, alpha=0.1, color='#e74c3c', label='95%置信区间')</w:t>
      </w:r>
    </w:p>
    <w:p w14:paraId="5A738619">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ax.set_xlabel('日期')</w:t>
      </w:r>
    </w:p>
    <w:p w14:paraId="458A096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ax.set_ylabel('收盘价（元）')</w:t>
      </w:r>
    </w:p>
    <w:p w14:paraId="09A6C529">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ax.set_title(f'贵州茅台 ARIMA 股价预测  |  MAPE={mape:.2f}%  RMSE={rmse:.2f}')</w:t>
      </w:r>
    </w:p>
    <w:p w14:paraId="76714C9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ax.legend()</w:t>
      </w:r>
    </w:p>
    <w:p w14:paraId="7EA396B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ax.grid(alpha=0.3)</w:t>
      </w:r>
    </w:p>
    <w:p w14:paraId="162FDDC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plt.tight_layout()</w:t>
      </w:r>
    </w:p>
    <w:p w14:paraId="0F62CBE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plt.savefig('output/11_prediction_compare.png', dpi=150)</w:t>
      </w:r>
    </w:p>
    <w:p w14:paraId="3E25A5E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plt.close()</w:t>
      </w:r>
    </w:p>
    <w:p w14:paraId="7C19B9B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57CC5DA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图2: 未来30天预测</w:t>
      </w:r>
    </w:p>
    <w:p w14:paraId="28C048F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fig, ax = plt.subplots(figsize=(12, 5))</w:t>
      </w:r>
    </w:p>
    <w:p w14:paraId="0F3E441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recent = close[-60:]</w:t>
      </w:r>
    </w:p>
    <w:p w14:paraId="03CC17B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ax.plot(recent.index, recent, label='历史价格', color='#3498db', linewidth=1.2)</w:t>
      </w:r>
    </w:p>
    <w:p w14:paraId="6AB3FAD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ax.plot(future_pred.index, future_pred, label='未来30日预测', color='#e74c3c',</w:t>
      </w:r>
    </w:p>
    <w:p w14:paraId="6D94382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linewidth=1.5, linestyle='--', marker='o', markersize=3)</w:t>
      </w:r>
    </w:p>
    <w:p w14:paraId="404E20D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ax.fill_between(future_pred.index, future_pred * 0.95, future_pred * 1.05,</w:t>
      </w:r>
    </w:p>
    <w:p w14:paraId="6716A5B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alpha=0.15, color='#e74c3c')</w:t>
      </w:r>
    </w:p>
    <w:p w14:paraId="6604F6DF">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ax.axvline(x=close.index[-1], color='gray', linestyle=':', alpha=0.5, label='预测起点')</w:t>
      </w:r>
    </w:p>
    <w:p w14:paraId="07AC110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ax.set_xlabel('日期')</w:t>
      </w:r>
    </w:p>
    <w:p w14:paraId="47876806">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ax.set_ylabel('收盘价（元）')</w:t>
      </w:r>
    </w:p>
    <w:p w14:paraId="79E6628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ax.set_title('贵州茅台 未来30个交易日股价预测')</w:t>
      </w:r>
    </w:p>
    <w:p w14:paraId="05DA23F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ax.legend()</w:t>
      </w:r>
    </w:p>
    <w:p w14:paraId="0E409495">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ax.grid(alpha=0.3)</w:t>
      </w:r>
    </w:p>
    <w:p w14:paraId="3B03C14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plt.tight_layout()</w:t>
      </w:r>
    </w:p>
    <w:p w14:paraId="1BE13AF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plt.savefig('output/12_future_prediction.png', dpi=150)</w:t>
      </w:r>
    </w:p>
    <w:p w14:paraId="6C1C963C">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plt.close()</w:t>
      </w:r>
    </w:p>
    <w:p w14:paraId="1DD7CF6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0CC6BA89">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保存预测结果到CSV</w:t>
      </w:r>
    </w:p>
    <w:p w14:paraId="5E87825B">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pred_df = pd.DataFrame({</w:t>
      </w:r>
    </w:p>
    <w:p w14:paraId="77BC996A">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'日期': future_pred.index.strftime('%Y-%m-%d'),</w:t>
      </w:r>
    </w:p>
    <w:p w14:paraId="0254E12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xml:space="preserve">    '预测收盘价': future_pred.values.round(2)</w:t>
      </w:r>
    </w:p>
    <w:p w14:paraId="1391B01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w:t>
      </w:r>
    </w:p>
    <w:p w14:paraId="2AB8EF1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pred_df.to_csv('data/prediction_result.csv', index=False, encoding='utf-8-sig')</w:t>
      </w:r>
    </w:p>
    <w:p w14:paraId="63D6418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print(f'    预测结果已保存 → data/prediction_result.csv')</w:t>
      </w:r>
    </w:p>
    <w:p w14:paraId="63813446">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p>
    <w:p w14:paraId="4C08B5A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 ==================== 6. 输出摘要 ====================</w:t>
      </w:r>
    </w:p>
    <w:p w14:paraId="4A7F0851">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print('\n' + '=' * 50)</w:t>
      </w:r>
    </w:p>
    <w:p w14:paraId="44D026C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  ARIMA 股价预测摘要')</w:t>
      </w:r>
    </w:p>
    <w:p w14:paraId="70B32507">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 * 50)</w:t>
      </w:r>
    </w:p>
    <w:p w14:paraId="49FFA5F2">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print(f'  模型参数: ARIMA(5, {d_order}, 2)')</w:t>
      </w:r>
    </w:p>
    <w:p w14:paraId="1BABA9D8">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print(f'  训练数据: {train.index[0].date()} ~ {train.index[-1].date()}')</w:t>
      </w:r>
    </w:p>
    <w:p w14:paraId="2A24D07D">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print(f'  预测精度: MAPE = {mape:.2f}%')</w:t>
      </w:r>
    </w:p>
    <w:p w14:paraId="27047644">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print(f'  最新收盘价: {close.iloc[-1]:.2f} 元')</w:t>
      </w:r>
    </w:p>
    <w:p w14:paraId="2E77A096">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print(f'  30日后预测: {future_pred.iloc[-1]:.2f} 元')</w:t>
      </w:r>
    </w:p>
    <w:p w14:paraId="148EC3F3">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trend = '上涨' if future_pred.iloc[-1] &gt; close.iloc[-1] else '下跌'</w:t>
      </w:r>
    </w:p>
    <w:p w14:paraId="553EC05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change = (future_pred.iloc[-1] - close.iloc[-1]) / close.iloc[-1] * 100</w:t>
      </w:r>
    </w:p>
    <w:p w14:paraId="73D2E4AE">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print(f'  预测趋势: {trend} {abs(change):.2f}%')</w:t>
      </w:r>
    </w:p>
    <w:p w14:paraId="7BAEEA79">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 * 50)</w:t>
      </w:r>
    </w:p>
    <w:p w14:paraId="314B1710">
      <w:pPr>
        <w:keepNext w:val="0"/>
        <w:keepLines/>
        <w:pageBreakBefore w:val="0"/>
        <w:widowControl/>
        <w:shd w:val="clear" w:color="auto" w:fill="F5F5F5"/>
        <w:kinsoku/>
        <w:wordWrap/>
        <w:overflowPunct/>
        <w:topLinePunct w:val="0"/>
        <w:autoSpaceDE/>
        <w:autoSpaceDN/>
        <w:bidi w:val="0"/>
        <w:adjustRightInd/>
        <w:snapToGrid/>
        <w:spacing w:before="0" w:after="0" w:line="240" w:lineRule="exact"/>
        <w:ind w:left="0" w:firstLine="0" w:firstLineChars="0"/>
        <w:jc w:val="left"/>
        <w:textAlignment w:val="auto"/>
      </w:pPr>
      <w:r>
        <w:rPr>
          <w:rFonts w:ascii="Consolas" w:hAnsi="Consolas" w:eastAsia="Consolas"/>
          <w:sz w:val="20"/>
        </w:rPr>
        <w:t>print('[✓] 预测完成！')</w:t>
      </w:r>
    </w:p>
    <w:p w14:paraId="49D63136">
      <w:pPr>
        <w:rPr>
          <w:rFonts w:hint="eastAsia"/>
          <w:lang w:val="en-US" w:eastAsia="zh-CN"/>
        </w:rPr>
      </w:pPr>
    </w:p>
    <w:p w14:paraId="37A2BD6B">
      <w:pPr>
        <w:rPr>
          <w:rFonts w:hint="eastAsia"/>
          <w:lang w:val="en-US" w:eastAsia="zh-CN"/>
        </w:rPr>
      </w:pPr>
    </w:p>
    <w:p w14:paraId="357806BB">
      <w:pPr>
        <w:rPr>
          <w:rFonts w:hint="eastAsia"/>
          <w:lang w:val="en-US" w:eastAsia="zh-CN"/>
        </w:rPr>
      </w:pPr>
    </w:p>
    <w:p w14:paraId="06ADC7B8">
      <w:pPr>
        <w:ind w:left="0" w:leftChars="0" w:firstLine="0" w:firstLineChars="0"/>
        <w:rPr>
          <w:rFonts w:hint="default"/>
          <w:lang w:val="en-US" w:eastAsia="zh-CN"/>
        </w:rPr>
      </w:pPr>
    </w:p>
    <w:p w14:paraId="7BDFD99B">
      <w:pPr>
        <w:spacing w:before="120" w:after="120" w:line="288" w:lineRule="auto"/>
        <w:ind w:firstLine="480"/>
        <w:jc w:val="left"/>
      </w:pPr>
    </w:p>
    <w:sectPr>
      <w:footerReference r:id="rId11" w:type="default"/>
      <w:pgSz w:w="11905" w:h="16840"/>
      <w:pgMar w:top="1440" w:right="1800" w:bottom="1440" w:left="1800" w:header="720" w:footer="720" w:gutter="0"/>
      <w:pgNumType w:start="1"/>
      <w:cols w:space="720" w:num="1"/>
      <w:docGrid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Cambria">
    <w:panose1 w:val="02040503050406030204"/>
    <w:charset w:val="00"/>
    <w:family w:val="auto"/>
    <w:pitch w:val="default"/>
    <w:sig w:usb0="E00006FF" w:usb1="420024FF" w:usb2="02000000" w:usb3="00000000" w:csb0="2000019F" w:csb1="00000000"/>
  </w:font>
  <w:font w:name="Consolas">
    <w:panose1 w:val="020B0609020204030204"/>
    <w:charset w:val="00"/>
    <w:family w:val="modern"/>
    <w:pitch w:val="default"/>
    <w:sig w:usb0="E00006FF" w:usb1="0000FCFF" w:usb2="00000001" w:usb3="00000000" w:csb0="6000019F" w:csb1="DFD7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9F58B0">
    <w:pPr>
      <w:pStyle w:val="8"/>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A0EAC8">
    <w:pPr>
      <w:pStyle w:val="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552695399"/>
      <w:docPartObj>
        <w:docPartGallery w:val="autotext"/>
      </w:docPartObj>
    </w:sdtPr>
    <w:sdtContent>
      <w:p w14:paraId="1F58A0D9">
        <w:pPr>
          <w:pStyle w:val="8"/>
          <w:ind w:firstLine="360"/>
          <w:jc w:val="center"/>
        </w:pPr>
        <w:r>
          <w:fldChar w:fldCharType="begin"/>
        </w:r>
        <w:r>
          <w:instrText xml:space="preserve">PAGE   \* MERGEFORMAT</w:instrText>
        </w:r>
        <w:r>
          <w:fldChar w:fldCharType="separate"/>
        </w:r>
        <w:r>
          <w:rPr>
            <w:lang w:val="zh-CN"/>
          </w:rPr>
          <w:t>1</w:t>
        </w:r>
        <w:r>
          <w:fldChar w:fldCharType="end"/>
        </w:r>
      </w:p>
    </w:sdtContent>
  </w:sdt>
  <w:p w14:paraId="7D7C51AC">
    <w:pPr>
      <w:pStyle w:val="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09028704"/>
      <w:docPartObj>
        <w:docPartGallery w:val="autotext"/>
      </w:docPartObj>
    </w:sdtPr>
    <w:sdtContent>
      <w:p w14:paraId="415E57E2">
        <w:pPr>
          <w:pStyle w:val="8"/>
          <w:ind w:firstLine="360"/>
          <w:jc w:val="center"/>
        </w:pPr>
        <w:r>
          <w:fldChar w:fldCharType="begin"/>
        </w:r>
        <w:r>
          <w:instrText xml:space="preserve">PAGE   \* MERGEFORMAT</w:instrText>
        </w:r>
        <w:r>
          <w:fldChar w:fldCharType="separate"/>
        </w:r>
        <w:r>
          <w:rPr>
            <w:lang w:val="zh-CN"/>
          </w:rPr>
          <w:t>29</w:t>
        </w:r>
        <w:r>
          <w:fldChar w:fldCharType="end"/>
        </w:r>
      </w:p>
    </w:sdtContent>
  </w:sdt>
  <w:p w14:paraId="71FC6D9A">
    <w:pPr>
      <w:pStyle w:val="8"/>
      <w:ind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00" w:lineRule="auto"/>
        <w:ind w:firstLine="480"/>
      </w:pPr>
      <w:r>
        <w:separator/>
      </w:r>
    </w:p>
  </w:footnote>
  <w:footnote w:type="continuationSeparator" w:id="1">
    <w:p>
      <w:pPr>
        <w:spacing w:line="30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365202">
    <w:pPr>
      <w:ind w:firstLine="48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E8D1CF">
    <w:pPr>
      <w:pStyle w:val="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C102DA">
    <w:pPr>
      <w:pStyle w:val="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D5B2157"/>
    <w:multiLevelType w:val="multilevel"/>
    <w:tmpl w:val="0D5B2157"/>
    <w:lvl w:ilvl="0" w:tentative="0">
      <w:start w:val="1"/>
      <w:numFmt w:val="decimal"/>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1BDC0279"/>
    <w:multiLevelType w:val="multilevel"/>
    <w:tmpl w:val="1BDC0279"/>
    <w:lvl w:ilvl="0" w:tentative="0">
      <w:start w:val="1"/>
      <w:numFmt w:val="decimal"/>
      <w:lvlText w:val="%1."/>
      <w:lvlJc w:val="left"/>
      <w:pPr>
        <w:ind w:left="0" w:hanging="420"/>
      </w:pPr>
    </w:lvl>
    <w:lvl w:ilvl="1" w:tentative="0">
      <w:start w:val="1"/>
      <w:numFmt w:val="lowerLetter"/>
      <w:lvlText w:val="%2)"/>
      <w:lvlJc w:val="left"/>
      <w:pPr>
        <w:ind w:left="420" w:hanging="420"/>
      </w:pPr>
    </w:lvl>
    <w:lvl w:ilvl="2" w:tentative="0">
      <w:start w:val="1"/>
      <w:numFmt w:val="lowerRoman"/>
      <w:lvlText w:val="%3."/>
      <w:lvlJc w:val="right"/>
      <w:pPr>
        <w:ind w:left="840" w:hanging="420"/>
      </w:pPr>
    </w:lvl>
    <w:lvl w:ilvl="3" w:tentative="0">
      <w:start w:val="1"/>
      <w:numFmt w:val="decimal"/>
      <w:lvlText w:val="%4."/>
      <w:lvlJc w:val="left"/>
      <w:pPr>
        <w:ind w:left="1260" w:hanging="420"/>
      </w:pPr>
    </w:lvl>
    <w:lvl w:ilvl="4" w:tentative="0">
      <w:start w:val="1"/>
      <w:numFmt w:val="lowerLetter"/>
      <w:lvlText w:val="%5)"/>
      <w:lvlJc w:val="left"/>
      <w:pPr>
        <w:ind w:left="1680" w:hanging="420"/>
      </w:pPr>
    </w:lvl>
    <w:lvl w:ilvl="5" w:tentative="0">
      <w:start w:val="1"/>
      <w:numFmt w:val="lowerRoman"/>
      <w:lvlText w:val="%6."/>
      <w:lvlJc w:val="right"/>
      <w:pPr>
        <w:ind w:left="2100" w:hanging="420"/>
      </w:pPr>
    </w:lvl>
    <w:lvl w:ilvl="6" w:tentative="0">
      <w:start w:val="1"/>
      <w:numFmt w:val="decimal"/>
      <w:lvlText w:val="%7."/>
      <w:lvlJc w:val="left"/>
      <w:pPr>
        <w:ind w:left="2520" w:hanging="420"/>
      </w:pPr>
    </w:lvl>
    <w:lvl w:ilvl="7" w:tentative="0">
      <w:start w:val="1"/>
      <w:numFmt w:val="lowerLetter"/>
      <w:lvlText w:val="%8)"/>
      <w:lvlJc w:val="left"/>
      <w:pPr>
        <w:ind w:left="2940" w:hanging="420"/>
      </w:pPr>
    </w:lvl>
    <w:lvl w:ilvl="8" w:tentative="0">
      <w:start w:val="1"/>
      <w:numFmt w:val="lowerRoman"/>
      <w:lvlText w:val="%9."/>
      <w:lvlJc w:val="right"/>
      <w:pPr>
        <w:ind w:left="336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isplayHorizontalDrawingGridEvery w:val="1"/>
  <w:displayVerticalDrawingGridEvery w:val="1"/>
  <w:noPunctuationKerning w:val="1"/>
  <w:characterSpacingControl w:val="doNotCompress"/>
  <w:footnotePr>
    <w:footnote w:id="0"/>
    <w:footnote w:id="1"/>
  </w:footnotePr>
  <w:endnotePr>
    <w:endnote w:id="0"/>
    <w:endnote w:id="1"/>
  </w:endnotePr>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5641"/>
    <w:rsid w:val="000170A4"/>
    <w:rsid w:val="0005417B"/>
    <w:rsid w:val="0007558A"/>
    <w:rsid w:val="000C5641"/>
    <w:rsid w:val="000D54A5"/>
    <w:rsid w:val="000E6F9E"/>
    <w:rsid w:val="00103AE9"/>
    <w:rsid w:val="0016749F"/>
    <w:rsid w:val="001B2548"/>
    <w:rsid w:val="0020636A"/>
    <w:rsid w:val="00223660"/>
    <w:rsid w:val="00291B2D"/>
    <w:rsid w:val="002F1310"/>
    <w:rsid w:val="002F6B5D"/>
    <w:rsid w:val="00314E23"/>
    <w:rsid w:val="0038139D"/>
    <w:rsid w:val="00382CBF"/>
    <w:rsid w:val="003B2493"/>
    <w:rsid w:val="003B2CBB"/>
    <w:rsid w:val="003B7C5A"/>
    <w:rsid w:val="003D106F"/>
    <w:rsid w:val="003F6977"/>
    <w:rsid w:val="004054FE"/>
    <w:rsid w:val="00445780"/>
    <w:rsid w:val="00470F40"/>
    <w:rsid w:val="00497AD8"/>
    <w:rsid w:val="004B3092"/>
    <w:rsid w:val="004B3CD7"/>
    <w:rsid w:val="004B7E98"/>
    <w:rsid w:val="004C1874"/>
    <w:rsid w:val="004E3386"/>
    <w:rsid w:val="00555232"/>
    <w:rsid w:val="00582B42"/>
    <w:rsid w:val="005C3426"/>
    <w:rsid w:val="005D5C72"/>
    <w:rsid w:val="0060287C"/>
    <w:rsid w:val="006176EA"/>
    <w:rsid w:val="00630767"/>
    <w:rsid w:val="00633E61"/>
    <w:rsid w:val="00676F61"/>
    <w:rsid w:val="006834E8"/>
    <w:rsid w:val="006843C3"/>
    <w:rsid w:val="006911E9"/>
    <w:rsid w:val="00696776"/>
    <w:rsid w:val="006E672C"/>
    <w:rsid w:val="0071722E"/>
    <w:rsid w:val="00731F37"/>
    <w:rsid w:val="00732023"/>
    <w:rsid w:val="007523BC"/>
    <w:rsid w:val="007A0891"/>
    <w:rsid w:val="008A1A3D"/>
    <w:rsid w:val="008A5321"/>
    <w:rsid w:val="008A64E4"/>
    <w:rsid w:val="00933FD2"/>
    <w:rsid w:val="009515A0"/>
    <w:rsid w:val="00A172D8"/>
    <w:rsid w:val="00A706B0"/>
    <w:rsid w:val="00AA2958"/>
    <w:rsid w:val="00AC14DB"/>
    <w:rsid w:val="00C00D61"/>
    <w:rsid w:val="00C64549"/>
    <w:rsid w:val="00C83159"/>
    <w:rsid w:val="00CA64E8"/>
    <w:rsid w:val="00CD1815"/>
    <w:rsid w:val="00CE4CB3"/>
    <w:rsid w:val="00D56C48"/>
    <w:rsid w:val="00E261FE"/>
    <w:rsid w:val="00E62A59"/>
    <w:rsid w:val="00EF2E0C"/>
    <w:rsid w:val="00EF6A63"/>
    <w:rsid w:val="00F04333"/>
    <w:rsid w:val="00F1769E"/>
    <w:rsid w:val="00F61CDD"/>
    <w:rsid w:val="29911F40"/>
    <w:rsid w:val="2D513E2C"/>
    <w:rsid w:val="3307464E"/>
    <w:rsid w:val="43FE4748"/>
    <w:rsid w:val="4CE53104"/>
    <w:rsid w:val="5AE111B4"/>
    <w:rsid w:val="6340631B"/>
    <w:rsid w:val="656D3CD1"/>
    <w:rsid w:val="67CA275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00" w:lineRule="auto"/>
      <w:ind w:firstLine="200" w:firstLineChars="200"/>
      <w:jc w:val="both"/>
    </w:pPr>
    <w:rPr>
      <w:rFonts w:ascii="Times New Roman" w:hAnsi="Times New Roman" w:eastAsiaTheme="minorEastAsia" w:cstheme="minorBidi"/>
      <w:kern w:val="2"/>
      <w:sz w:val="24"/>
      <w:szCs w:val="22"/>
      <w:lang w:val="en-US" w:eastAsia="zh-CN" w:bidi="ar-SA"/>
    </w:rPr>
  </w:style>
  <w:style w:type="paragraph" w:styleId="2">
    <w:name w:val="heading 1"/>
    <w:basedOn w:val="1"/>
    <w:next w:val="1"/>
    <w:link w:val="19"/>
    <w:qFormat/>
    <w:uiPriority w:val="9"/>
    <w:pPr>
      <w:keepNext/>
      <w:keepLines/>
      <w:spacing w:before="50" w:beforeLines="50" w:line="360" w:lineRule="auto"/>
      <w:ind w:firstLine="0" w:firstLineChars="0"/>
      <w:outlineLvl w:val="0"/>
    </w:pPr>
    <w:rPr>
      <w:b/>
      <w:bCs/>
      <w:kern w:val="44"/>
      <w:sz w:val="28"/>
      <w:szCs w:val="44"/>
    </w:rPr>
  </w:style>
  <w:style w:type="paragraph" w:styleId="3">
    <w:name w:val="heading 2"/>
    <w:basedOn w:val="1"/>
    <w:next w:val="1"/>
    <w:link w:val="20"/>
    <w:unhideWhenUsed/>
    <w:qFormat/>
    <w:uiPriority w:val="9"/>
    <w:pPr>
      <w:keepNext/>
      <w:keepLines/>
      <w:spacing w:before="50" w:beforeLines="50" w:line="415" w:lineRule="auto"/>
      <w:ind w:firstLine="0" w:firstLineChars="0"/>
      <w:outlineLvl w:val="1"/>
    </w:pPr>
    <w:rPr>
      <w:rFonts w:eastAsiaTheme="majorEastAsia" w:cstheme="majorBidi"/>
      <w:b/>
      <w:bCs/>
      <w:sz w:val="28"/>
      <w:szCs w:val="32"/>
    </w:rPr>
  </w:style>
  <w:style w:type="paragraph" w:styleId="4">
    <w:name w:val="heading 3"/>
    <w:basedOn w:val="1"/>
    <w:next w:val="1"/>
    <w:link w:val="21"/>
    <w:unhideWhenUsed/>
    <w:qFormat/>
    <w:uiPriority w:val="9"/>
    <w:pPr>
      <w:keepNext/>
      <w:keepLines/>
      <w:spacing w:line="360" w:lineRule="auto"/>
      <w:ind w:firstLine="0" w:firstLineChars="0"/>
      <w:outlineLvl w:val="2"/>
    </w:pPr>
    <w:rPr>
      <w:b/>
      <w:bCs/>
      <w:szCs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26"/>
    <w:semiHidden/>
    <w:unhideWhenUsed/>
    <w:qFormat/>
    <w:uiPriority w:val="99"/>
    <w:pPr>
      <w:jc w:val="left"/>
    </w:pPr>
  </w:style>
  <w:style w:type="paragraph" w:styleId="6">
    <w:name w:val="toc 3"/>
    <w:basedOn w:val="1"/>
    <w:next w:val="1"/>
    <w:autoRedefine/>
    <w:unhideWhenUsed/>
    <w:qFormat/>
    <w:uiPriority w:val="39"/>
    <w:pPr>
      <w:widowControl/>
      <w:spacing w:after="100" w:line="259" w:lineRule="auto"/>
      <w:ind w:left="440" w:firstLine="0" w:firstLineChars="0"/>
      <w:jc w:val="left"/>
    </w:pPr>
    <w:rPr>
      <w:rFonts w:cs="Times New Roman" w:asciiTheme="minorHAnsi" w:hAnsiTheme="minorHAnsi"/>
      <w:kern w:val="0"/>
      <w:sz w:val="22"/>
    </w:rPr>
  </w:style>
  <w:style w:type="paragraph" w:styleId="7">
    <w:name w:val="Balloon Text"/>
    <w:basedOn w:val="1"/>
    <w:link w:val="28"/>
    <w:semiHidden/>
    <w:unhideWhenUsed/>
    <w:qFormat/>
    <w:uiPriority w:val="99"/>
    <w:pPr>
      <w:spacing w:line="240" w:lineRule="auto"/>
    </w:pPr>
    <w:rPr>
      <w:sz w:val="18"/>
      <w:szCs w:val="18"/>
    </w:rPr>
  </w:style>
  <w:style w:type="paragraph" w:styleId="8">
    <w:name w:val="footer"/>
    <w:basedOn w:val="1"/>
    <w:link w:val="24"/>
    <w:unhideWhenUsed/>
    <w:qFormat/>
    <w:uiPriority w:val="99"/>
    <w:pPr>
      <w:tabs>
        <w:tab w:val="center" w:pos="4153"/>
        <w:tab w:val="right" w:pos="8306"/>
      </w:tabs>
      <w:snapToGrid w:val="0"/>
      <w:spacing w:line="240" w:lineRule="auto"/>
      <w:jc w:val="left"/>
    </w:pPr>
    <w:rPr>
      <w:sz w:val="18"/>
      <w:szCs w:val="18"/>
    </w:rPr>
  </w:style>
  <w:style w:type="paragraph" w:styleId="9">
    <w:name w:val="header"/>
    <w:basedOn w:val="1"/>
    <w:link w:val="23"/>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0">
    <w:name w:val="toc 1"/>
    <w:basedOn w:val="1"/>
    <w:next w:val="1"/>
    <w:autoRedefine/>
    <w:unhideWhenUsed/>
    <w:qFormat/>
    <w:uiPriority w:val="39"/>
    <w:pPr>
      <w:widowControl/>
      <w:spacing w:after="100" w:line="259" w:lineRule="auto"/>
      <w:ind w:firstLine="0" w:firstLineChars="0"/>
      <w:jc w:val="left"/>
    </w:pPr>
    <w:rPr>
      <w:rFonts w:cs="Times New Roman" w:asciiTheme="minorHAnsi" w:hAnsiTheme="minorHAnsi"/>
      <w:kern w:val="0"/>
      <w:sz w:val="22"/>
    </w:rPr>
  </w:style>
  <w:style w:type="paragraph" w:styleId="11">
    <w:name w:val="toc 2"/>
    <w:basedOn w:val="1"/>
    <w:next w:val="1"/>
    <w:autoRedefine/>
    <w:unhideWhenUsed/>
    <w:qFormat/>
    <w:uiPriority w:val="39"/>
    <w:pPr>
      <w:widowControl/>
      <w:spacing w:after="100" w:line="259" w:lineRule="auto"/>
      <w:ind w:left="220" w:firstLine="0" w:firstLineChars="0"/>
      <w:jc w:val="left"/>
    </w:pPr>
    <w:rPr>
      <w:rFonts w:cs="Times New Roman" w:asciiTheme="minorHAnsi" w:hAnsiTheme="minorHAnsi"/>
      <w:kern w:val="0"/>
      <w:sz w:val="22"/>
    </w:rPr>
  </w:style>
  <w:style w:type="paragraph" w:styleId="12">
    <w:name w:val="annotation subject"/>
    <w:basedOn w:val="5"/>
    <w:next w:val="5"/>
    <w:link w:val="27"/>
    <w:semiHidden/>
    <w:unhideWhenUsed/>
    <w:qFormat/>
    <w:uiPriority w:val="99"/>
    <w:rPr>
      <w:b/>
      <w:bCs/>
    </w:rPr>
  </w:style>
  <w:style w:type="table" w:styleId="14">
    <w:name w:val="Table Grid"/>
    <w:basedOn w:val="13"/>
    <w:qFormat/>
    <w:uiPriority w:val="5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Strong"/>
    <w:basedOn w:val="15"/>
    <w:qFormat/>
    <w:uiPriority w:val="22"/>
    <w:rPr>
      <w:b/>
      <w:bCs/>
    </w:rPr>
  </w:style>
  <w:style w:type="character" w:styleId="17">
    <w:name w:val="Hyperlink"/>
    <w:basedOn w:val="15"/>
    <w:unhideWhenUsed/>
    <w:qFormat/>
    <w:uiPriority w:val="99"/>
    <w:rPr>
      <w:color w:val="0563C1" w:themeColor="hyperlink"/>
      <w:u w:val="single"/>
      <w14:textFill>
        <w14:solidFill>
          <w14:schemeClr w14:val="hlink"/>
        </w14:solidFill>
      </w14:textFill>
    </w:rPr>
  </w:style>
  <w:style w:type="character" w:styleId="18">
    <w:name w:val="annotation reference"/>
    <w:basedOn w:val="15"/>
    <w:semiHidden/>
    <w:unhideWhenUsed/>
    <w:qFormat/>
    <w:uiPriority w:val="99"/>
    <w:rPr>
      <w:sz w:val="21"/>
      <w:szCs w:val="21"/>
    </w:rPr>
  </w:style>
  <w:style w:type="character" w:customStyle="1" w:styleId="19">
    <w:name w:val="标题 1 Char"/>
    <w:basedOn w:val="15"/>
    <w:link w:val="2"/>
    <w:qFormat/>
    <w:uiPriority w:val="9"/>
    <w:rPr>
      <w:rFonts w:ascii="Times New Roman" w:hAnsi="Times New Roman"/>
      <w:b/>
      <w:bCs/>
      <w:kern w:val="44"/>
      <w:sz w:val="28"/>
      <w:szCs w:val="44"/>
    </w:rPr>
  </w:style>
  <w:style w:type="character" w:customStyle="1" w:styleId="20">
    <w:name w:val="标题 2 Char"/>
    <w:basedOn w:val="15"/>
    <w:link w:val="3"/>
    <w:qFormat/>
    <w:uiPriority w:val="9"/>
    <w:rPr>
      <w:rFonts w:ascii="Times New Roman" w:hAnsi="Times New Roman" w:eastAsiaTheme="majorEastAsia" w:cstheme="majorBidi"/>
      <w:b/>
      <w:bCs/>
      <w:sz w:val="28"/>
      <w:szCs w:val="32"/>
    </w:rPr>
  </w:style>
  <w:style w:type="character" w:customStyle="1" w:styleId="21">
    <w:name w:val="标题 3 Char"/>
    <w:basedOn w:val="15"/>
    <w:link w:val="4"/>
    <w:qFormat/>
    <w:uiPriority w:val="9"/>
    <w:rPr>
      <w:rFonts w:ascii="Times New Roman" w:hAnsi="Times New Roman"/>
      <w:b/>
      <w:bCs/>
      <w:sz w:val="24"/>
      <w:szCs w:val="32"/>
    </w:rPr>
  </w:style>
  <w:style w:type="paragraph" w:customStyle="1" w:styleId="22">
    <w:name w:val="TOC Heading"/>
    <w:basedOn w:val="2"/>
    <w:next w:val="1"/>
    <w:unhideWhenUsed/>
    <w:qFormat/>
    <w:uiPriority w:val="39"/>
    <w:pPr>
      <w:widowControl/>
      <w:spacing w:before="240" w:beforeLines="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23">
    <w:name w:val="页眉 Char"/>
    <w:basedOn w:val="15"/>
    <w:link w:val="9"/>
    <w:qFormat/>
    <w:uiPriority w:val="99"/>
    <w:rPr>
      <w:rFonts w:ascii="Times New Roman" w:hAnsi="Times New Roman"/>
      <w:sz w:val="18"/>
      <w:szCs w:val="18"/>
    </w:rPr>
  </w:style>
  <w:style w:type="character" w:customStyle="1" w:styleId="24">
    <w:name w:val="页脚 Char"/>
    <w:basedOn w:val="15"/>
    <w:link w:val="8"/>
    <w:qFormat/>
    <w:uiPriority w:val="99"/>
    <w:rPr>
      <w:rFonts w:ascii="Times New Roman" w:hAnsi="Times New Roman"/>
      <w:sz w:val="18"/>
      <w:szCs w:val="18"/>
    </w:rPr>
  </w:style>
  <w:style w:type="paragraph" w:styleId="25">
    <w:name w:val="List Paragraph"/>
    <w:basedOn w:val="1"/>
    <w:qFormat/>
    <w:uiPriority w:val="34"/>
    <w:pPr>
      <w:ind w:firstLine="420"/>
    </w:pPr>
  </w:style>
  <w:style w:type="character" w:customStyle="1" w:styleId="26">
    <w:name w:val="批注文字 Char"/>
    <w:basedOn w:val="15"/>
    <w:link w:val="5"/>
    <w:semiHidden/>
    <w:qFormat/>
    <w:uiPriority w:val="99"/>
    <w:rPr>
      <w:rFonts w:ascii="Times New Roman" w:hAnsi="Times New Roman"/>
      <w:sz w:val="24"/>
    </w:rPr>
  </w:style>
  <w:style w:type="character" w:customStyle="1" w:styleId="27">
    <w:name w:val="批注主题 Char"/>
    <w:basedOn w:val="26"/>
    <w:link w:val="12"/>
    <w:semiHidden/>
    <w:qFormat/>
    <w:uiPriority w:val="99"/>
    <w:rPr>
      <w:rFonts w:ascii="Times New Roman" w:hAnsi="Times New Roman"/>
      <w:b/>
      <w:bCs/>
      <w:sz w:val="24"/>
    </w:rPr>
  </w:style>
  <w:style w:type="character" w:customStyle="1" w:styleId="28">
    <w:name w:val="批注框文本 Char"/>
    <w:basedOn w:val="15"/>
    <w:link w:val="7"/>
    <w:semiHidden/>
    <w:qFormat/>
    <w:uiPriority w:val="99"/>
    <w:rPr>
      <w:rFonts w:ascii="Times New Roman" w:hAnsi="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customXml" Target="../customXml/item1.xml"/><Relationship Id="rId25" Type="http://schemas.openxmlformats.org/officeDocument/2006/relationships/numbering" Target="numbering.xml"/><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B565A5-2224-4C8A-9BB7-617DFF6E8E2C}">
  <ds:schemaRefs/>
</ds:datastoreItem>
</file>

<file path=docProps/app.xml><?xml version="1.0" encoding="utf-8"?>
<Properties xmlns="http://schemas.openxmlformats.org/officeDocument/2006/extended-properties" xmlns:vt="http://schemas.openxmlformats.org/officeDocument/2006/docPropsVTypes">
  <Template>Normal.dotm</Template>
  <Pages>28</Pages>
  <Words>2696</Words>
  <Characters>3084</Characters>
  <Lines>273</Lines>
  <Paragraphs>76</Paragraphs>
  <TotalTime>1</TotalTime>
  <ScaleCrop>false</ScaleCrop>
  <LinksUpToDate>false</LinksUpToDate>
  <CharactersWithSpaces>3175</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2026-04-13T03:12:00Z</dcterms:created>
  <dc:creator>Apache POI</dc:creator>
  <cp:lastModifiedBy>周宣哲</cp:lastModifiedBy>
  <dcterms:modified xsi:type="dcterms:W3CDTF">2026-05-23T13:45:46Z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eyJoZGlkIjoiMjA4MjM3MGQ0ZTFlYmNlZWQzNTg4OTBjZDBkMjNiOTYiLCJ1c2VySWQiOiI5NzExOTQ4MDQifQ==</vt:lpwstr>
  </property>
  <property fmtid="{D5CDD505-2E9C-101B-9397-08002B2CF9AE}" pid="3" name="KSOProductBuildVer">
    <vt:lpwstr>2052-12.1.0.23125</vt:lpwstr>
  </property>
  <property fmtid="{D5CDD505-2E9C-101B-9397-08002B2CF9AE}" pid="4" name="ICV">
    <vt:lpwstr>B98FEAF1DCA04D40AF578AECDB56CE54_12</vt:lpwstr>
  </property>
</Properties>
</file>