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5F9893">
      <w:pPr>
        <w:jc w:val="center"/>
      </w:pPr>
      <w:r>
        <w:rPr>
          <w:rFonts w:ascii="黑体" w:hAnsi="黑体"/>
          <w:b/>
          <w:sz w:val="36"/>
        </w:rPr>
        <w:t>学生成绩数据处理报告</w:t>
      </w:r>
    </w:p>
    <w:p w14:paraId="0F4A1559"/>
    <w:p w14:paraId="4C42595F">
      <w:r>
        <w:rPr>
          <w:rFonts w:ascii="黑体" w:hAnsi="黑体"/>
          <w:b/>
          <w:sz w:val="32"/>
        </w:rPr>
        <w:t>1. 导入库与读取数据</w:t>
      </w:r>
    </w:p>
    <w:p w14:paraId="2D5B42BE">
      <w:r>
        <w:drawing>
          <wp:inline distT="0" distB="0" distL="114300" distR="114300">
            <wp:extent cx="5314950" cy="4724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472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31092E">
      <w:r>
        <w:rPr>
          <w:rFonts w:ascii="黑体" w:hAnsi="黑体"/>
          <w:b/>
          <w:sz w:val="32"/>
        </w:rPr>
        <w:t>2. 查看数据基本信息</w:t>
      </w:r>
    </w:p>
    <w:p w14:paraId="0EB0EF93">
      <w:r>
        <w:drawing>
          <wp:inline distT="0" distB="0" distL="114300" distR="114300">
            <wp:extent cx="4752975" cy="27813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6C09D0">
      <w:r>
        <w:drawing>
          <wp:inline distT="0" distB="0" distL="114300" distR="114300">
            <wp:extent cx="5481320" cy="2807970"/>
            <wp:effectExtent l="0" t="0" r="5080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1320" cy="280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5F5CBA">
      <w:r>
        <w:rPr>
          <w:rFonts w:ascii="黑体" w:hAnsi="黑体"/>
          <w:b/>
          <w:sz w:val="32"/>
        </w:rPr>
        <w:t>3. 检查缺失值</w:t>
      </w:r>
    </w:p>
    <w:p w14:paraId="757941B2">
      <w:r>
        <w:drawing>
          <wp:inline distT="0" distB="0" distL="114300" distR="114300">
            <wp:extent cx="5480685" cy="2472055"/>
            <wp:effectExtent l="0" t="0" r="5715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0685" cy="247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F55E36">
      <w:r>
        <w:drawing>
          <wp:inline distT="0" distB="0" distL="114300" distR="114300">
            <wp:extent cx="5482590" cy="5458460"/>
            <wp:effectExtent l="0" t="0" r="381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2590" cy="545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BA6F42">
      <w:r>
        <w:rPr>
          <w:rFonts w:ascii="黑体" w:hAnsi="黑体"/>
          <w:b/>
          <w:sz w:val="32"/>
        </w:rPr>
        <w:t>4. 填充缺失值</w:t>
      </w:r>
    </w:p>
    <w:p w14:paraId="20B3E975"/>
    <w:p w14:paraId="70367E7C">
      <w:r>
        <w:rPr>
          <w:rFonts w:ascii="黑体" w:hAnsi="黑体"/>
          <w:b/>
          <w:sz w:val="28"/>
        </w:rPr>
        <w:t>4.1 前向填充（用前一行的值填充）</w:t>
      </w:r>
    </w:p>
    <w:p w14:paraId="4B503344">
      <w:r>
        <w:drawing>
          <wp:inline distT="0" distB="0" distL="114300" distR="114300">
            <wp:extent cx="5485765" cy="2885440"/>
            <wp:effectExtent l="0" t="0" r="635" b="1016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85765" cy="288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9EA777">
      <w:r>
        <w:rPr>
          <w:rFonts w:ascii="黑体" w:hAnsi="黑体"/>
          <w:b/>
          <w:sz w:val="28"/>
        </w:rPr>
        <w:t>4.2 后向填充（用后一行的值填充）</w:t>
      </w:r>
    </w:p>
    <w:p w14:paraId="656066DC">
      <w:r>
        <w:drawing>
          <wp:inline distT="0" distB="0" distL="114300" distR="114300">
            <wp:extent cx="5480050" cy="2974975"/>
            <wp:effectExtent l="0" t="0" r="6350" b="158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80050" cy="297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A9282A">
      <w:pPr>
        <w:rPr>
          <w:rFonts w:ascii="黑体" w:hAnsi="黑体"/>
          <w:b/>
          <w:sz w:val="28"/>
        </w:rPr>
      </w:pPr>
      <w:r>
        <w:rPr>
          <w:rFonts w:ascii="黑体" w:hAnsi="黑体"/>
          <w:b/>
          <w:sz w:val="28"/>
        </w:rPr>
        <w:t>4.3 均值填充（用该列平均值填充）</w:t>
      </w:r>
    </w:p>
    <w:p w14:paraId="4F5838E1">
      <w:pPr>
        <w:rPr>
          <w:rFonts w:ascii="黑体" w:hAnsi="黑体"/>
          <w:b/>
          <w:sz w:val="28"/>
        </w:rPr>
      </w:pPr>
      <w:r>
        <w:drawing>
          <wp:inline distT="0" distB="0" distL="114300" distR="114300">
            <wp:extent cx="5484495" cy="3258185"/>
            <wp:effectExtent l="0" t="0" r="1905" b="1841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84495" cy="325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ACAD2E"/>
    <w:p w14:paraId="1A0B0DE6">
      <w:r>
        <w:rPr>
          <w:rFonts w:ascii="黑体" w:hAnsi="黑体"/>
          <w:b/>
          <w:sz w:val="28"/>
        </w:rPr>
        <w:t>4.4 插值填充（线性插值）</w:t>
      </w:r>
    </w:p>
    <w:p w14:paraId="3C703757">
      <w:r>
        <w:drawing>
          <wp:inline distT="0" distB="0" distL="114300" distR="114300">
            <wp:extent cx="5480050" cy="3173730"/>
            <wp:effectExtent l="0" t="0" r="6350" b="762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80050" cy="317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13E519">
      <w:pPr>
        <w:rPr>
          <w:rFonts w:ascii="黑体" w:hAnsi="黑体"/>
          <w:b/>
          <w:sz w:val="28"/>
        </w:rPr>
      </w:pPr>
      <w:r>
        <w:rPr>
          <w:rFonts w:ascii="黑体" w:hAnsi="黑体"/>
          <w:b/>
          <w:sz w:val="28"/>
        </w:rPr>
        <w:t>4.5 综合填充所有缺失值</w:t>
      </w:r>
    </w:p>
    <w:p w14:paraId="1B419F2E">
      <w:pPr>
        <w:rPr>
          <w:rFonts w:ascii="黑体" w:hAnsi="黑体"/>
          <w:b/>
          <w:sz w:val="28"/>
        </w:rPr>
      </w:pPr>
      <w:r>
        <w:drawing>
          <wp:inline distT="0" distB="0" distL="114300" distR="114300">
            <wp:extent cx="5486400" cy="5113020"/>
            <wp:effectExtent l="0" t="0" r="0" b="1143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511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2FCE0"/>
    <w:p w14:paraId="53DDB7CA">
      <w:r>
        <w:rPr>
          <w:rFonts w:ascii="黑体" w:hAnsi="黑体"/>
          <w:b/>
          <w:sz w:val="32"/>
        </w:rPr>
        <w:t>5. 去除重复数据</w:t>
      </w:r>
    </w:p>
    <w:p w14:paraId="2B003727">
      <w:r>
        <w:drawing>
          <wp:inline distT="0" distB="0" distL="114300" distR="114300">
            <wp:extent cx="5480685" cy="2994660"/>
            <wp:effectExtent l="0" t="0" r="5715" b="1524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80685" cy="299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F3FEF2">
      <w:r>
        <w:drawing>
          <wp:inline distT="0" distB="0" distL="114300" distR="114300">
            <wp:extent cx="5484495" cy="3524885"/>
            <wp:effectExtent l="0" t="0" r="1905" b="1841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84495" cy="3524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EC055">
      <w:pPr>
        <w:numPr>
          <w:ilvl w:val="0"/>
          <w:numId w:val="7"/>
        </w:numPr>
        <w:rPr>
          <w:rFonts w:ascii="黑体" w:hAnsi="黑体"/>
          <w:b/>
          <w:sz w:val="32"/>
        </w:rPr>
      </w:pPr>
      <w:r>
        <w:rPr>
          <w:rFonts w:ascii="黑体" w:hAnsi="黑体"/>
          <w:b/>
          <w:sz w:val="32"/>
        </w:rPr>
        <w:t>处理结果总览</w:t>
      </w:r>
    </w:p>
    <w:p w14:paraId="2560FC21">
      <w:pPr>
        <w:numPr>
          <w:numId w:val="0"/>
        </w:numPr>
      </w:pPr>
      <w:r>
        <w:drawing>
          <wp:inline distT="0" distB="0" distL="114300" distR="114300">
            <wp:extent cx="5482590" cy="2728595"/>
            <wp:effectExtent l="0" t="0" r="3810" b="1460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82590" cy="272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A04587">
      <w:pPr>
        <w:numPr>
          <w:numId w:val="0"/>
        </w:numPr>
      </w:pPr>
      <w:r>
        <w:drawing>
          <wp:inline distT="0" distB="0" distL="114300" distR="114300">
            <wp:extent cx="5483860" cy="3917950"/>
            <wp:effectExtent l="0" t="0" r="2540" b="635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483860" cy="391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980DB8">
      <w:r>
        <w:rPr>
          <w:rFonts w:ascii="黑体" w:hAnsi="黑体"/>
          <w:b/>
          <w:sz w:val="32"/>
        </w:rPr>
        <w:t>7. 自我点评</w:t>
      </w:r>
    </w:p>
    <w:p w14:paraId="76BFF849">
      <w:bookmarkStart w:id="0" w:name="_GoBack"/>
      <w:bookmarkEnd w:id="0"/>
    </w:p>
    <w:p w14:paraId="6323C181">
      <w:pPr>
        <w:spacing w:line="360" w:lineRule="auto"/>
        <w:ind w:firstLine="480"/>
      </w:pPr>
      <w:r>
        <w:rPr>
          <w:rFonts w:ascii="宋体" w:hAnsi="宋体"/>
          <w:sz w:val="24"/>
        </w:rPr>
        <w:t>在本次数据清理过程中，我使用了几种常见的缺失值填充方法，并对每种方法的效果进行了评估。首先，对于前向填充（forwardfill），我选择了填补数学成绩列中的缺失值。前向填充是一种基于已有数据填充缺失值的方法，它假设相邻记录之间的数据变化较小，因此可以通过前一个数据来填充当前缺失值。在这个案例中，由于学生的数学成绩在相邻记录间波动不大，前向填充在大部分情况下是合适的，尤其是在数据量较大且缺失值较少时。</w:t>
      </w:r>
    </w:p>
    <w:p w14:paraId="2DD56EA9">
      <w:pPr>
        <w:spacing w:line="360" w:lineRule="auto"/>
        <w:ind w:firstLine="480"/>
      </w:pPr>
      <w:r>
        <w:rPr>
          <w:rFonts w:ascii="宋体" w:hAnsi="宋体"/>
          <w:sz w:val="24"/>
        </w:rPr>
        <w:t>其次，使用均值填充（meanfill）填补了物理成绩列中仍然存在的缺失值。均值填充方法适用于数值型数据，尤其是数据分布较为均匀对称时，它能够有效避免填充值的极端偏离。对于学生物理成绩列，这一方法十分合适，因为学生的成绩通常集中在某些区间内（例如60-100分），并且数据分布较为均匀，因此填充均值不会引入过多的偏差。</w:t>
      </w:r>
    </w:p>
    <w:p w14:paraId="6CFF694F">
      <w:pPr>
        <w:spacing w:line="360" w:lineRule="auto"/>
        <w:ind w:firstLine="480"/>
      </w:pPr>
      <w:r>
        <w:rPr>
          <w:rFonts w:ascii="宋体" w:hAnsi="宋体"/>
          <w:sz w:val="24"/>
        </w:rPr>
        <w:t>最后，我对英语成绩列的缺失值使用了差值填充（interpolation）。差值填充特别适用于连续数值型数据，尤其是当缺失值在数据中的位置处于相对平稳的区域时，差值填充能够根据相邻的数据点生成较为合理的计算值。在本例中，英语成绩列呈现出一定的数值连续性，因此差值填充方法有效地填补了缺失值，并保持了数据的整体趋势和分布特征。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SRI AMFM Electric"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6">
    <w:nsid w:val="234F41F8"/>
    <w:multiLevelType w:val="singleLevel"/>
    <w:tmpl w:val="234F41F8"/>
    <w:lvl w:ilvl="0" w:tentative="0">
      <w:start w:val="6"/>
      <w:numFmt w:val="decimal"/>
      <w:suff w:val="space"/>
      <w:lvlText w:val="%1."/>
      <w:lvlJc w:val="left"/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9212AEA"/>
    <w:rsid w:val="23D1614D"/>
    <w:rsid w:val="7B691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unhideWhenUsed="0" w:uiPriority="67" w:semiHidden="0" w:name="Medium Grid 1 Accent 1"/>
    <w:lsdException w:qFormat="1"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unhideWhenUsed="0" w:uiPriority="66" w:semiHidden="0" w:name="Medium List 2 Accent 2"/>
    <w:lsdException w:qFormat="1"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qFormat="1" w:unhideWhenUsed="0" w:uiPriority="70" w:semiHidden="0" w:name="Dark List Accent 4"/>
    <w:lsdException w:unhideWhenUsed="0" w:uiPriority="71" w:semiHidden="0" w:name="Colorful Shading Accent 4"/>
    <w:lsdException w:qFormat="1"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qFormat="1"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4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qFormat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612</Words>
  <Characters>663</Characters>
  <Lines>0</Lines>
  <Paragraphs>0</Paragraphs>
  <TotalTime>1</TotalTime>
  <ScaleCrop>false</ScaleCrop>
  <LinksUpToDate>false</LinksUpToDate>
  <CharactersWithSpaces>675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WPS_1665158381</cp:lastModifiedBy>
  <dcterms:modified xsi:type="dcterms:W3CDTF">2026-04-22T09:38:08Z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eyJoZGlkIjoiNTM3MzVjZmMzZDYzNjQyMWFjNTBmMzhkZDU4OWM4OTciLCJ1c2VySWQiOiIxNDE2NjM3MTY5In0=</vt:lpwstr>
  </property>
  <property fmtid="{D5CDD505-2E9C-101B-9397-08002B2CF9AE}" pid="3" name="KSOProductBuildVer">
    <vt:lpwstr>2052-12.1.0.25865</vt:lpwstr>
  </property>
  <property fmtid="{D5CDD505-2E9C-101B-9397-08002B2CF9AE}" pid="4" name="ICV">
    <vt:lpwstr>CA7FE7D6FF2C4FFBB38D06F08B90429D_12</vt:lpwstr>
  </property>
</Properties>
</file>