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836B8">
      <w:pPr>
        <w:jc w:val="center"/>
      </w:pPr>
      <w:r>
        <w:rPr>
          <w:rFonts w:ascii="黑体" w:hAnsi="黑体"/>
          <w:b/>
          <w:sz w:val="36"/>
        </w:rPr>
        <w:t>员工薪资数据处理报告</w:t>
      </w:r>
    </w:p>
    <w:p w14:paraId="6FD7748E"/>
    <w:p w14:paraId="4C42595F">
      <w:r>
        <w:rPr>
          <w:rFonts w:ascii="黑体" w:hAnsi="黑体"/>
          <w:b/>
          <w:sz w:val="32"/>
        </w:rPr>
        <w:t>1. 导入库与读取数据</w:t>
      </w:r>
    </w:p>
    <w:p w14:paraId="2D5B42BE">
      <w:r>
        <w:drawing>
          <wp:inline distT="0" distB="0" distL="114300" distR="114300">
            <wp:extent cx="5485765" cy="4009390"/>
            <wp:effectExtent l="0" t="0" r="63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485765" cy="4009390"/>
                    </a:xfrm>
                    <a:prstGeom prst="rect">
                      <a:avLst/>
                    </a:prstGeom>
                    <a:noFill/>
                    <a:ln>
                      <a:noFill/>
                    </a:ln>
                  </pic:spPr>
                </pic:pic>
              </a:graphicData>
            </a:graphic>
          </wp:inline>
        </w:drawing>
      </w:r>
    </w:p>
    <w:p w14:paraId="5831092E">
      <w:r>
        <w:rPr>
          <w:rFonts w:ascii="黑体" w:hAnsi="黑体"/>
          <w:b/>
          <w:sz w:val="32"/>
        </w:rPr>
        <w:t>2. 查看数据基本信息</w:t>
      </w:r>
    </w:p>
    <w:p w14:paraId="0EB0EF93">
      <w:r>
        <w:drawing>
          <wp:inline distT="0" distB="0" distL="114300" distR="114300">
            <wp:extent cx="5482590" cy="4848225"/>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482590" cy="4848225"/>
                    </a:xfrm>
                    <a:prstGeom prst="rect">
                      <a:avLst/>
                    </a:prstGeom>
                    <a:noFill/>
                    <a:ln>
                      <a:noFill/>
                    </a:ln>
                  </pic:spPr>
                </pic:pic>
              </a:graphicData>
            </a:graphic>
          </wp:inline>
        </w:drawing>
      </w:r>
    </w:p>
    <w:p w14:paraId="7A5F5CBA">
      <w:r>
        <w:rPr>
          <w:rFonts w:ascii="黑体" w:hAnsi="黑体"/>
          <w:b/>
          <w:sz w:val="32"/>
        </w:rPr>
        <w:t>3. 检查缺失值</w:t>
      </w:r>
    </w:p>
    <w:p w14:paraId="757941B2">
      <w:r>
        <w:drawing>
          <wp:inline distT="0" distB="0" distL="114300" distR="114300">
            <wp:extent cx="5481955" cy="2405380"/>
            <wp:effectExtent l="0" t="0" r="444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481955" cy="2405380"/>
                    </a:xfrm>
                    <a:prstGeom prst="rect">
                      <a:avLst/>
                    </a:prstGeom>
                    <a:noFill/>
                    <a:ln>
                      <a:noFill/>
                    </a:ln>
                  </pic:spPr>
                </pic:pic>
              </a:graphicData>
            </a:graphic>
          </wp:inline>
        </w:drawing>
      </w:r>
    </w:p>
    <w:p w14:paraId="16BA6F42">
      <w:r>
        <w:rPr>
          <w:rFonts w:ascii="黑体" w:hAnsi="黑体"/>
          <w:b/>
          <w:sz w:val="32"/>
        </w:rPr>
        <w:t>4. 填充缺失值</w:t>
      </w:r>
    </w:p>
    <w:p w14:paraId="20B3E975"/>
    <w:p w14:paraId="70367E7C">
      <w:r>
        <w:rPr>
          <w:rFonts w:ascii="黑体" w:hAnsi="黑体"/>
          <w:b/>
          <w:sz w:val="28"/>
        </w:rPr>
        <w:t>4.1 前向填充（用前一行的值填充）</w:t>
      </w:r>
    </w:p>
    <w:p w14:paraId="4B503344">
      <w:r>
        <w:drawing>
          <wp:inline distT="0" distB="0" distL="114300" distR="114300">
            <wp:extent cx="5480685" cy="3128645"/>
            <wp:effectExtent l="0" t="0" r="571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480685" cy="3128645"/>
                    </a:xfrm>
                    <a:prstGeom prst="rect">
                      <a:avLst/>
                    </a:prstGeom>
                    <a:noFill/>
                    <a:ln>
                      <a:noFill/>
                    </a:ln>
                  </pic:spPr>
                </pic:pic>
              </a:graphicData>
            </a:graphic>
          </wp:inline>
        </w:drawing>
      </w:r>
    </w:p>
    <w:p w14:paraId="1C9EA777">
      <w:r>
        <w:rPr>
          <w:rFonts w:ascii="黑体" w:hAnsi="黑体"/>
          <w:b/>
          <w:sz w:val="28"/>
        </w:rPr>
        <w:t>4.2 后向填充（用后一行的值填充）</w:t>
      </w:r>
    </w:p>
    <w:p w14:paraId="656066DC">
      <w:r>
        <w:drawing>
          <wp:inline distT="0" distB="0" distL="114300" distR="114300">
            <wp:extent cx="5482590" cy="3136265"/>
            <wp:effectExtent l="0" t="0" r="381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482590" cy="3136265"/>
                    </a:xfrm>
                    <a:prstGeom prst="rect">
                      <a:avLst/>
                    </a:prstGeom>
                    <a:noFill/>
                    <a:ln>
                      <a:noFill/>
                    </a:ln>
                  </pic:spPr>
                </pic:pic>
              </a:graphicData>
            </a:graphic>
          </wp:inline>
        </w:drawing>
      </w:r>
    </w:p>
    <w:p w14:paraId="50A9282A">
      <w:r>
        <w:rPr>
          <w:rFonts w:ascii="黑体" w:hAnsi="黑体"/>
          <w:b/>
          <w:sz w:val="28"/>
        </w:rPr>
        <w:t>4.3 均值填充（用该列平均值填充）</w:t>
      </w:r>
    </w:p>
    <w:p w14:paraId="15ACAD2E">
      <w:r>
        <w:drawing>
          <wp:inline distT="0" distB="0" distL="114300" distR="114300">
            <wp:extent cx="5486400" cy="409448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486400" cy="4094480"/>
                    </a:xfrm>
                    <a:prstGeom prst="rect">
                      <a:avLst/>
                    </a:prstGeom>
                    <a:noFill/>
                    <a:ln>
                      <a:noFill/>
                    </a:ln>
                  </pic:spPr>
                </pic:pic>
              </a:graphicData>
            </a:graphic>
          </wp:inline>
        </w:drawing>
      </w:r>
    </w:p>
    <w:p w14:paraId="1A0B0DE6">
      <w:r>
        <w:rPr>
          <w:rFonts w:ascii="黑体" w:hAnsi="黑体"/>
          <w:b/>
          <w:sz w:val="28"/>
        </w:rPr>
        <w:t>4.4 插值填充（线性插值）</w:t>
      </w:r>
    </w:p>
    <w:p w14:paraId="3C703757">
      <w:r>
        <w:drawing>
          <wp:inline distT="0" distB="0" distL="114300" distR="114300">
            <wp:extent cx="5481320" cy="2840990"/>
            <wp:effectExtent l="0" t="0" r="5080"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5481320" cy="2840990"/>
                    </a:xfrm>
                    <a:prstGeom prst="rect">
                      <a:avLst/>
                    </a:prstGeom>
                    <a:noFill/>
                    <a:ln>
                      <a:noFill/>
                    </a:ln>
                  </pic:spPr>
                </pic:pic>
              </a:graphicData>
            </a:graphic>
          </wp:inline>
        </w:drawing>
      </w:r>
    </w:p>
    <w:p w14:paraId="2C13E519">
      <w:r>
        <w:rPr>
          <w:rFonts w:ascii="黑体" w:hAnsi="黑体"/>
          <w:b/>
          <w:sz w:val="28"/>
        </w:rPr>
        <w:t>4.5 综合填充所有缺失值</w:t>
      </w:r>
    </w:p>
    <w:p w14:paraId="27A2FCE0">
      <w:r>
        <w:drawing>
          <wp:inline distT="0" distB="0" distL="114300" distR="114300">
            <wp:extent cx="5478780" cy="46405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5478780" cy="4640580"/>
                    </a:xfrm>
                    <a:prstGeom prst="rect">
                      <a:avLst/>
                    </a:prstGeom>
                    <a:noFill/>
                    <a:ln>
                      <a:noFill/>
                    </a:ln>
                  </pic:spPr>
                </pic:pic>
              </a:graphicData>
            </a:graphic>
          </wp:inline>
        </w:drawing>
      </w:r>
    </w:p>
    <w:p w14:paraId="53DDB7CA">
      <w:r>
        <w:rPr>
          <w:rFonts w:ascii="黑体" w:hAnsi="黑体"/>
          <w:b/>
          <w:sz w:val="32"/>
        </w:rPr>
        <w:t>5. 去除重复数据</w:t>
      </w:r>
    </w:p>
    <w:p w14:paraId="2B003727">
      <w:r>
        <w:drawing>
          <wp:inline distT="0" distB="0" distL="114300" distR="114300">
            <wp:extent cx="5483860" cy="3126740"/>
            <wp:effectExtent l="0" t="0" r="2540" b="165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5483860" cy="3126740"/>
                    </a:xfrm>
                    <a:prstGeom prst="rect">
                      <a:avLst/>
                    </a:prstGeom>
                    <a:noFill/>
                    <a:ln>
                      <a:noFill/>
                    </a:ln>
                  </pic:spPr>
                </pic:pic>
              </a:graphicData>
            </a:graphic>
          </wp:inline>
        </w:drawing>
      </w:r>
    </w:p>
    <w:p w14:paraId="0CF3FEF2">
      <w:r>
        <w:drawing>
          <wp:inline distT="0" distB="0" distL="114300" distR="114300">
            <wp:extent cx="5481320" cy="3345815"/>
            <wp:effectExtent l="0" t="0" r="508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5481320" cy="3345815"/>
                    </a:xfrm>
                    <a:prstGeom prst="rect">
                      <a:avLst/>
                    </a:prstGeom>
                    <a:noFill/>
                    <a:ln>
                      <a:noFill/>
                    </a:ln>
                  </pic:spPr>
                </pic:pic>
              </a:graphicData>
            </a:graphic>
          </wp:inline>
        </w:drawing>
      </w:r>
    </w:p>
    <w:p w14:paraId="29EEC055">
      <w:r>
        <w:rPr>
          <w:rFonts w:ascii="黑体" w:hAnsi="黑体"/>
          <w:b/>
          <w:sz w:val="32"/>
        </w:rPr>
        <w:t>6. 处理结果总览</w:t>
      </w:r>
    </w:p>
    <w:p w14:paraId="07DB8EA3">
      <w:r>
        <w:drawing>
          <wp:inline distT="0" distB="0" distL="114300" distR="114300">
            <wp:extent cx="5483860" cy="2768600"/>
            <wp:effectExtent l="0" t="0" r="2540" b="1270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5483860" cy="2768600"/>
                    </a:xfrm>
                    <a:prstGeom prst="rect">
                      <a:avLst/>
                    </a:prstGeom>
                    <a:noFill/>
                    <a:ln>
                      <a:noFill/>
                    </a:ln>
                  </pic:spPr>
                </pic:pic>
              </a:graphicData>
            </a:graphic>
          </wp:inline>
        </w:drawing>
      </w:r>
    </w:p>
    <w:p w14:paraId="3708E1F8">
      <w:r>
        <w:drawing>
          <wp:inline distT="0" distB="0" distL="114300" distR="114300">
            <wp:extent cx="5480685" cy="3945890"/>
            <wp:effectExtent l="0" t="0" r="5715" b="165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5480685" cy="3945890"/>
                    </a:xfrm>
                    <a:prstGeom prst="rect">
                      <a:avLst/>
                    </a:prstGeom>
                    <a:noFill/>
                    <a:ln>
                      <a:noFill/>
                    </a:ln>
                  </pic:spPr>
                </pic:pic>
              </a:graphicData>
            </a:graphic>
          </wp:inline>
        </w:drawing>
      </w:r>
    </w:p>
    <w:p w14:paraId="6106E2D8">
      <w:r>
        <w:rPr>
          <w:rFonts w:ascii="黑体" w:hAnsi="黑体"/>
          <w:b/>
          <w:sz w:val="32"/>
        </w:rPr>
        <w:t>7. 自我点评</w:t>
      </w:r>
    </w:p>
    <w:p w14:paraId="166CC1E2"/>
    <w:p w14:paraId="017D2C1D">
      <w:pPr>
        <w:spacing w:line="360" w:lineRule="auto"/>
        <w:ind w:firstLine="480"/>
      </w:pPr>
      <w:r>
        <w:rPr>
          <w:rFonts w:ascii="宋体" w:hAnsi="宋体"/>
          <w:sz w:val="24"/>
        </w:rPr>
        <w:t>在本次数据处理过程中，针对员工薪资数据中存在的缺失值问题，我分别采用了不同的填充策略。对于工龄列，采用了前向填充的方式。由于员工数据按照工号排列，相邻工号的员工入职时间往往比较接近，工龄也存在一定的相似性，因此使用前一条记录的工龄来填补当前缺失值是一种较为合理的处理方式，能够在不引入过大偏差的情况下保持数据的连贯性。</w:t>
      </w:r>
    </w:p>
    <w:p w14:paraId="59ED4E84">
      <w:pPr>
        <w:spacing w:line="360" w:lineRule="auto"/>
        <w:ind w:firstLine="480"/>
      </w:pPr>
      <w:r>
        <w:rPr>
          <w:rFonts w:ascii="宋体" w:hAnsi="宋体"/>
          <w:sz w:val="24"/>
        </w:rPr>
        <w:t>对于月薪列，采用了均值填充的方法来处理缺失数据。月薪作为一个核心数值指标，其整体均值能够较好地反映公司的薪资水平。使用全体员工的月薪平均值来替代缺失值，虽然无法精确还原每位员工的实际薪资，但在统计分析层面不会显著改变数据的整体分布特征。后续如果需要更精细的处理，可以考虑按照部门或职级分组计算均值再进行填充，以获得更贴近实际情况的结果。</w:t>
      </w:r>
    </w:p>
    <w:p w14:paraId="39B1C00C">
      <w:pPr>
        <w:spacing w:line="360" w:lineRule="auto"/>
        <w:ind w:firstLine="480"/>
      </w:pPr>
      <w:r>
        <w:rPr>
          <w:rFonts w:ascii="宋体" w:hAnsi="宋体"/>
          <w:sz w:val="24"/>
        </w:rPr>
        <w:t>对于年龄列的缺失值，选择了线性插值方法进行填充。线性插值通过相邻已知数据点之间的线性关系来估算缺失位置的数值，适合处理数值变化较为平缓的连续型数据。员工年龄在整体上呈现出一定的递增趋势，数据波动相对平稳，因此线性插值能够生成较为自然的填充结果，避免了简单均值填充可能带来的数值跳跃问题，使得处理后的年龄数据更加平滑连续。</w:t>
      </w:r>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35771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4"/>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612</Words>
  <Characters>629</Characters>
  <Lines>0</Lines>
  <Paragraphs>0</Paragraphs>
  <TotalTime>0</TotalTime>
  <ScaleCrop>false</ScaleCrop>
  <LinksUpToDate>false</LinksUpToDate>
  <CharactersWithSpaces>641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2026-04-22T09:36:22Z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2052-12.1.0.25865</vt:lpwstr>
  </property>
  <property fmtid="{D5CDD505-2E9C-101B-9397-08002B2CF9AE}" pid="4" name="ICV">
    <vt:lpwstr>146594C511C3460D9078E8DB9A598EBB_12</vt:lpwstr>
  </property>
</Properties>
</file>