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D1690"/>
    <w:p w14:paraId="17EB02F2"/>
    <w:p w14:paraId="17E17F0F">
      <w:pPr>
        <w:spacing w:after="240"/>
        <w:jc w:val="center"/>
        <w:outlineLvl w:val="9"/>
      </w:pPr>
      <w:bookmarkStart w:id="0" w:name="_Toc8539"/>
      <w:r>
        <w:rPr>
          <w:rFonts w:ascii="Times New Roman" w:hAnsi="Times New Roman" w:eastAsia="黑体"/>
          <w:b/>
          <w:sz w:val="36"/>
        </w:rPr>
        <w:t>基于语料库的中国特色饮食文化负载词英汉翻译策略研究</w:t>
      </w:r>
      <w:bookmarkEnd w:id="0"/>
    </w:p>
    <w:p w14:paraId="563184E8">
      <w:pPr>
        <w:jc w:val="center"/>
        <w:outlineLvl w:val="9"/>
      </w:pPr>
      <w:bookmarkStart w:id="1" w:name="_Toc31724"/>
      <w:r>
        <w:rPr>
          <w:rFonts w:ascii="Times New Roman" w:hAnsi="Times New Roman" w:eastAsia="黑体"/>
          <w:b/>
          <w:sz w:val="28"/>
        </w:rPr>
        <w:t>——以《舌尖上的中国》英语译本为例</w:t>
      </w:r>
      <w:bookmarkEnd w:id="1"/>
    </w:p>
    <w:p w14:paraId="68C4734E"/>
    <w:p w14:paraId="7AC29E5F">
      <w:pPr>
        <w:rPr>
          <w:rFonts w:ascii="Times New Roman" w:hAnsi="Times New Roman" w:eastAsia="黑体"/>
          <w:b/>
          <w:sz w:val="30"/>
        </w:rPr>
      </w:pPr>
      <w:r>
        <w:rPr>
          <w:rFonts w:ascii="Times New Roman" w:hAnsi="Times New Roman" w:eastAsia="黑体"/>
          <w:b/>
          <w:sz w:val="30"/>
        </w:rPr>
        <w:br w:type="page"/>
      </w:r>
      <w:bookmarkStart w:id="21" w:name="_GoBack"/>
      <w:bookmarkEnd w:id="21"/>
    </w:p>
    <w:p w14:paraId="710D0197">
      <w:pPr>
        <w:spacing w:before="200" w:after="120"/>
        <w:jc w:val="center"/>
        <w:outlineLvl w:val="9"/>
      </w:pPr>
      <w:bookmarkStart w:id="2" w:name="_Toc2089"/>
      <w:r>
        <w:rPr>
          <w:rFonts w:ascii="Times New Roman" w:hAnsi="Times New Roman" w:eastAsia="黑体"/>
          <w:b/>
          <w:sz w:val="30"/>
        </w:rPr>
        <w:t>摘要</w:t>
      </w:r>
      <w:bookmarkEnd w:id="2"/>
    </w:p>
    <w:p w14:paraId="5AA30A72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本研究以纪录片《舌尖上的中国》（第一季）第一集《自然的馈赠》的官方英文字幕为语料，自建小型中英文平行语料库，提取并整理出 22 个中国特色饮食文化负载词。借助 Python（pandas、matplotlib）对这些负载词的翻译方法与翻译策略进行人工编码、频次统计和可视化分析。结果显示：在翻译方法上，直译使用最多（13 例，占 59.1%），其次为意译、音译、概括化和释义；在翻译策略上，归化明显占据主导（17 例，占 77.3%），异化为辅（5 例，占 22.7%）。异化主要集中在两类情况：一是文化空缺类特色名称的音译，二是承载中式生态与哲学理念的概念直译。研究认为，饮食文化负载词的英译需要在“让目标读者读懂”和“保留中国文化特色”之间寻求平衡；同时，本研究对智能语言产业中的机器翻译质量改进、双语术语库与平行语料库建设具有一定的参考意义。</w:t>
      </w:r>
    </w:p>
    <w:p w14:paraId="2D2E0BE3">
      <w:pPr>
        <w:spacing w:line="360" w:lineRule="auto"/>
      </w:pPr>
      <w:r>
        <w:rPr>
          <w:rFonts w:ascii="Times New Roman" w:hAnsi="Times New Roman" w:eastAsia="宋体"/>
          <w:b/>
          <w:sz w:val="24"/>
        </w:rPr>
        <w:t>关键词：</w:t>
      </w:r>
      <w:r>
        <w:rPr>
          <w:rFonts w:ascii="Times New Roman" w:hAnsi="Times New Roman" w:eastAsia="宋体"/>
          <w:b w:val="0"/>
          <w:sz w:val="24"/>
        </w:rPr>
        <w:t>饮食文化负载词；翻译策略；归化与异化；语料库；《舌尖上的中国》；智能语言产业</w:t>
      </w:r>
    </w:p>
    <w:p w14:paraId="4E7F3536">
      <w:pPr>
        <w:rPr>
          <w:rFonts w:ascii="Times New Roman" w:hAnsi="Times New Roman" w:eastAsia="黑体"/>
          <w:b/>
          <w:sz w:val="30"/>
        </w:rPr>
      </w:pPr>
      <w:r>
        <w:rPr>
          <w:rFonts w:ascii="Times New Roman" w:hAnsi="Times New Roman" w:eastAsia="黑体"/>
          <w:b/>
          <w:sz w:val="30"/>
        </w:rPr>
        <w:br w:type="page"/>
      </w:r>
    </w:p>
    <w:sdt>
      <w:sdtPr>
        <w:rPr>
          <w:rFonts w:hint="eastAsia" w:ascii="黑体" w:hAnsi="黑体" w:eastAsia="黑体" w:cs="黑体"/>
          <w:sz w:val="32"/>
          <w:szCs w:val="32"/>
          <w:lang w:val="en-US" w:eastAsia="en-US" w:bidi="ar-SA"/>
        </w:rPr>
        <w:id w:val="147455848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theme="minorBidi"/>
          <w:sz w:val="21"/>
          <w:szCs w:val="22"/>
          <w:lang w:val="en-US" w:eastAsia="en-US" w:bidi="ar-SA"/>
        </w:rPr>
      </w:sdtEndPr>
      <w:sdtContent>
        <w:p w14:paraId="080CF76C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ascii="黑体" w:hAnsi="黑体" w:eastAsia="黑体" w:cs="黑体"/>
              <w:sz w:val="32"/>
              <w:szCs w:val="32"/>
            </w:rPr>
          </w:pPr>
          <w:r>
            <w:rPr>
              <w:rFonts w:hint="eastAsia" w:ascii="黑体" w:hAnsi="黑体" w:eastAsia="黑体" w:cs="黑体"/>
              <w:sz w:val="32"/>
              <w:szCs w:val="32"/>
            </w:rPr>
            <w:t>目</w:t>
          </w:r>
          <w:r>
            <w:rPr>
              <w:rFonts w:hint="eastAsia" w:ascii="黑体" w:hAnsi="黑体" w:eastAsia="黑体" w:cs="黑体"/>
              <w:sz w:val="32"/>
              <w:szCs w:val="32"/>
              <w:lang w:val="en-US" w:eastAsia="zh-CN"/>
            </w:rPr>
            <w:t xml:space="preserve"> </w:t>
          </w:r>
          <w:r>
            <w:rPr>
              <w:rFonts w:hint="eastAsia" w:ascii="黑体" w:hAnsi="黑体" w:eastAsia="黑体" w:cs="黑体"/>
              <w:sz w:val="32"/>
              <w:szCs w:val="32"/>
            </w:rPr>
            <w:t>录</w:t>
          </w:r>
        </w:p>
        <w:p w14:paraId="7D93A77A">
          <w:pPr>
            <w:pStyle w:val="26"/>
            <w:tabs>
              <w:tab w:val="right" w:leader="dot" w:pos="8640"/>
            </w:tabs>
            <w:rPr>
              <w:rFonts w:hint="eastAsia" w:ascii="宋体" w:hAnsi="宋体" w:eastAsia="宋体" w:cs="宋体"/>
              <w:sz w:val="24"/>
              <w:szCs w:val="24"/>
            </w:rPr>
          </w:pPr>
          <w:r>
            <w:fldChar w:fldCharType="begin"/>
          </w:r>
          <w:r>
            <w:instrText xml:space="preserve">TOC \o "1-4" \h \u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_Toc32517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一、研究背景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_Toc32517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12AF52C3">
          <w:pPr>
            <w:pStyle w:val="26"/>
            <w:tabs>
              <w:tab w:val="right" w:leader="dot" w:pos="8640"/>
            </w:tabs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_Toc26488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二、研究问题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_Toc26488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3C8D6F1E">
          <w:pPr>
            <w:pStyle w:val="29"/>
            <w:tabs>
              <w:tab w:val="right" w:leader="dot" w:pos="8640"/>
            </w:tabs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_Toc29225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（2）从归化与异化两大翻译策略来看，整体呈现怎样的分布特征？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_Toc29225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2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3A16D19E">
          <w:pPr>
            <w:pStyle w:val="26"/>
            <w:tabs>
              <w:tab w:val="right" w:leader="dot" w:pos="8640"/>
            </w:tabs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_Toc5038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三、数据来源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_Toc5038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2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7C32D4A8">
          <w:pPr>
            <w:pStyle w:val="26"/>
            <w:tabs>
              <w:tab w:val="right" w:leader="dot" w:pos="8640"/>
            </w:tabs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_Toc323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四、方法说明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_Toc323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2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63278DB2">
          <w:pPr>
            <w:pStyle w:val="29"/>
            <w:tabs>
              <w:tab w:val="right" w:leader="dot" w:pos="8640"/>
            </w:tabs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_Toc15685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4.1 翻译方法（怎么译的）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_Toc15685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2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6344B0E3">
          <w:pPr>
            <w:pStyle w:val="29"/>
            <w:tabs>
              <w:tab w:val="right" w:leader="dot" w:pos="8640"/>
            </w:tabs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_Toc18798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4.2 翻译策略（整体偏向）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_Toc18798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3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1272CD92">
          <w:pPr>
            <w:pStyle w:val="29"/>
            <w:tabs>
              <w:tab w:val="right" w:leader="dot" w:pos="8640"/>
            </w:tabs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_Toc14618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4.3 统计工具与流程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_Toc14618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3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1C6C0EDA">
          <w:pPr>
            <w:pStyle w:val="26"/>
            <w:tabs>
              <w:tab w:val="right" w:leader="dot" w:pos="8640"/>
            </w:tabs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_Toc28557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五、分析结果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_Toc28557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3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52A2121A">
          <w:pPr>
            <w:pStyle w:val="29"/>
            <w:tabs>
              <w:tab w:val="right" w:leader="dot" w:pos="8640"/>
            </w:tabs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_Toc13818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5.1 翻译方法分布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_Toc13818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3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38F2EFC9">
          <w:pPr>
            <w:pStyle w:val="29"/>
            <w:tabs>
              <w:tab w:val="right" w:leader="dot" w:pos="8640"/>
            </w:tabs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_Toc30420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5.2 归化与异化分布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_Toc30420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4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5938FB10">
          <w:pPr>
            <w:pStyle w:val="29"/>
            <w:tabs>
              <w:tab w:val="right" w:leader="dot" w:pos="8640"/>
            </w:tabs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_Toc17303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5.3 翻译方法与策略的交叉分析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_Toc17303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5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5B4868EA">
          <w:pPr>
            <w:pStyle w:val="26"/>
            <w:tabs>
              <w:tab w:val="right" w:leader="dot" w:pos="8640"/>
            </w:tabs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_Toc3142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六、讨论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_Toc3142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6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202438D0">
          <w:pPr>
            <w:pStyle w:val="29"/>
            <w:tabs>
              <w:tab w:val="right" w:leader="dot" w:pos="8640"/>
            </w:tabs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_Toc20097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6.1 为什么归化占主导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_Toc20097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6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497FB559">
          <w:pPr>
            <w:pStyle w:val="29"/>
            <w:tabs>
              <w:tab w:val="right" w:leader="dot" w:pos="8640"/>
            </w:tabs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_Toc30572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6.2 异化用在什么地方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_Toc30572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6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2C69508C">
          <w:pPr>
            <w:pStyle w:val="29"/>
            <w:tabs>
              <w:tab w:val="right" w:leader="dot" w:pos="8640"/>
            </w:tabs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_Toc8326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6.3 典型案例分析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_Toc8326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7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20E15135">
          <w:pPr>
            <w:pStyle w:val="29"/>
            <w:tabs>
              <w:tab w:val="right" w:leader="dot" w:pos="8640"/>
            </w:tabs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_Toc8603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6.4 对智能语言产业的启示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_Toc8603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7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42C09C9D">
          <w:pPr>
            <w:pStyle w:val="26"/>
            <w:tabs>
              <w:tab w:val="right" w:leader="dot" w:pos="8640"/>
            </w:tabs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_Toc12638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七、结论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_Toc12638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7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  <w:p w14:paraId="76A76577">
          <w:pPr>
            <w:spacing w:line="360" w:lineRule="auto"/>
            <w:rPr>
              <w:rFonts w:ascii="宋体" w:hAnsi="宋体" w:eastAsia="宋体" w:cstheme="minorBidi"/>
              <w:sz w:val="21"/>
              <w:szCs w:val="22"/>
              <w:lang w:val="en-US" w:eastAsia="en-US" w:bidi="ar-SA"/>
            </w:rPr>
          </w:pPr>
          <w:r>
            <w:fldChar w:fldCharType="end"/>
          </w:r>
        </w:p>
      </w:sdtContent>
    </w:sdt>
    <w:p w14:paraId="7926903F">
      <w:pPr>
        <w:spacing w:line="360" w:lineRule="auto"/>
        <w:rPr>
          <w:rFonts w:ascii="宋体" w:hAnsi="宋体" w:eastAsia="宋体" w:cstheme="minorBidi"/>
          <w:sz w:val="21"/>
          <w:szCs w:val="22"/>
          <w:lang w:val="en-US" w:eastAsia="en-US" w:bidi="ar-SA"/>
        </w:rPr>
      </w:pPr>
    </w:p>
    <w:p w14:paraId="68A0D7E7">
      <w:pPr>
        <w:spacing w:before="200" w:after="120"/>
        <w:outlineLvl w:val="0"/>
        <w:rPr>
          <w:rFonts w:ascii="Times New Roman" w:hAnsi="Times New Roman" w:eastAsia="黑体"/>
          <w:b/>
          <w:sz w:val="30"/>
        </w:rPr>
        <w:sectPr>
          <w:pgSz w:w="12240" w:h="15840"/>
          <w:pgMar w:top="1440" w:right="1800" w:bottom="1440" w:left="1800" w:header="720" w:footer="720" w:gutter="0"/>
          <w:cols w:space="720" w:num="1"/>
          <w:docGrid w:linePitch="360" w:charSpace="0"/>
        </w:sectPr>
      </w:pPr>
      <w:bookmarkStart w:id="3" w:name="_Toc32517"/>
    </w:p>
    <w:p w14:paraId="0663CF44">
      <w:pPr>
        <w:spacing w:before="200" w:after="120"/>
        <w:outlineLvl w:val="0"/>
      </w:pPr>
      <w:r>
        <w:rPr>
          <w:rFonts w:ascii="Times New Roman" w:hAnsi="Times New Roman" w:eastAsia="黑体"/>
          <w:b/>
          <w:sz w:val="30"/>
        </w:rPr>
        <w:t>一、研究背景</w:t>
      </w:r>
      <w:bookmarkEnd w:id="3"/>
    </w:p>
    <w:p w14:paraId="50823969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中国饮食文化历史悠久、内涵丰富，是中国文化“走出去”的重要组成部分。近年来，随着中外交流的增多，越来越多介绍中国美食的影视作品被翻译并传播到海外，如何把这些作品中带有浓厚文化色彩的词语准确、得体地译成英语，成为一个值得研究的问题。</w:t>
      </w:r>
    </w:p>
    <w:p w14:paraId="0264DB7A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纪录片《舌尖上的中国》是一部具有代表性的中国饮食文化作品，画面精美、解说讲究，在国内外都有较高的知名度。它的官方英文版本质量较高、获取方便，为翻译研究提供了很好的素材。本研究就选取它的字幕作为分析对象。</w:t>
      </w:r>
    </w:p>
    <w:p w14:paraId="3903A5CB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在翻译中，最难处理的往往是“文化负载词”。文化负载词是指那些承载特定文化信息、在另一种语言里不容易找到完全对应说法的词语。饮食类的文化负载词尤其典型，比如“腌笃鲜”“诺邓火腿”这类菜名，英语里本来就没有现成的词，译者只能想办法处理。译得太“洋气”，外国人看不懂；译得太“土”，又会丢掉中国味道。因此，研究这类词到底用了哪些翻译方法、整体偏向归化还是异化，具有实际意义。</w:t>
      </w:r>
    </w:p>
    <w:p w14:paraId="02946E97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本研究采用语料库的方法，也就是把语料收集起来、做成可以统计的表格，再用数据来说话。这种方法的好处是结论更客观，不是只凭个人感觉。同时，随着人工智能和机器翻译的发展，“智能语言产业”正在快速成长。机器翻译、智能字幕、双语术语库等产品在处理文化负载词时常常出错，而高质量的人工标注语料正是训练和改进这些产品的基础。因此，本研究不仅有翻译学上的意义，对智能语言产业也有一定的参考价值。</w:t>
      </w:r>
    </w:p>
    <w:p w14:paraId="0D645E7E">
      <w:pPr>
        <w:spacing w:before="200" w:after="120"/>
        <w:outlineLvl w:val="0"/>
      </w:pPr>
      <w:bookmarkStart w:id="4" w:name="_Toc26488"/>
      <w:r>
        <w:rPr>
          <w:rFonts w:ascii="Times New Roman" w:hAnsi="Times New Roman" w:eastAsia="黑体"/>
          <w:b/>
          <w:sz w:val="30"/>
        </w:rPr>
        <w:t>二、研究问题</w:t>
      </w:r>
      <w:bookmarkEnd w:id="4"/>
    </w:p>
    <w:p w14:paraId="0D7AF8D6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围绕《舌尖上的中国》中的饮食文化负载词，本研究主要回答以下三个问题：</w:t>
      </w:r>
    </w:p>
    <w:p w14:paraId="08D5DA65">
      <w:pPr>
        <w:spacing w:line="360" w:lineRule="auto"/>
      </w:pPr>
      <w:r>
        <w:rPr>
          <w:rFonts w:ascii="Times New Roman" w:hAnsi="Times New Roman" w:eastAsia="宋体"/>
          <w:b w:val="0"/>
          <w:sz w:val="24"/>
        </w:rPr>
        <w:t>（1）这些饮食文化负载词在英译时，主要使用了哪些翻译方法？各自占多大比例？</w:t>
      </w:r>
    </w:p>
    <w:p w14:paraId="0BFAA1E3">
      <w:pPr>
        <w:spacing w:line="360" w:lineRule="auto"/>
        <w:outlineLvl w:val="1"/>
      </w:pPr>
      <w:bookmarkStart w:id="5" w:name="_Toc29225"/>
      <w:r>
        <w:rPr>
          <w:rFonts w:ascii="Times New Roman" w:hAnsi="Times New Roman" w:eastAsia="宋体"/>
          <w:b w:val="0"/>
          <w:sz w:val="24"/>
        </w:rPr>
        <w:t>（2）从归化与异化两大翻译策略来看，整体呈现怎样的分布特征？</w:t>
      </w:r>
      <w:bookmarkEnd w:id="5"/>
    </w:p>
    <w:p w14:paraId="4487B304">
      <w:pPr>
        <w:spacing w:line="360" w:lineRule="auto"/>
      </w:pPr>
      <w:r>
        <w:rPr>
          <w:rFonts w:ascii="Times New Roman" w:hAnsi="Times New Roman" w:eastAsia="宋体"/>
          <w:b w:val="0"/>
          <w:sz w:val="24"/>
        </w:rPr>
        <w:t>（3）不同类型的负载词在策略选择上有什么规律？这对智能语言产业（如机器翻译、术语库建设）有什么启示？</w:t>
      </w:r>
    </w:p>
    <w:p w14:paraId="542F39A0">
      <w:pPr>
        <w:spacing w:before="200" w:after="120"/>
        <w:outlineLvl w:val="0"/>
      </w:pPr>
      <w:bookmarkStart w:id="6" w:name="_Toc5038"/>
      <w:r>
        <w:rPr>
          <w:rFonts w:ascii="Times New Roman" w:hAnsi="Times New Roman" w:eastAsia="黑体"/>
          <w:b/>
          <w:sz w:val="30"/>
        </w:rPr>
        <w:t>三、数据来源</w:t>
      </w:r>
      <w:bookmarkEnd w:id="6"/>
    </w:p>
    <w:p w14:paraId="289AAA22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本研究的语料来自纪录片《舌尖上的中国》（第一季）第一集《自然的馈赠》及其官方英文字幕。之所以选这一集，是因为它的主题集中在“人与自然”，出现了大量和食材、烹饪、饮食理念有关的词语，比较适合做专题分析。</w:t>
      </w:r>
    </w:p>
    <w:p w14:paraId="5FE7A061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我们通读了这一集的中英文对照字幕，先标出可能相关的词（候选约 30 个），再按照“是否属于饮食文化负载词、中英文是否能对应、是否有文化内涵”等标准进行筛选，最后确定 22 个有效样本，整理成中英文平行语料表。表中除了中文词和英文译文，还记录了文化内涵、出现时间段以及中英文例句，方便核查。下表为部分语料示例。</w:t>
      </w:r>
    </w:p>
    <w:p w14:paraId="55885EF5">
      <w:pPr>
        <w:jc w:val="center"/>
      </w:pPr>
      <w:r>
        <w:rPr>
          <w:rFonts w:ascii="Times New Roman" w:hAnsi="Times New Roman" w:eastAsia="宋体"/>
          <w:b/>
          <w:sz w:val="21"/>
        </w:rPr>
        <w:t>表1 中英文平行语料示例（部分）</w:t>
      </w:r>
    </w:p>
    <w:tbl>
      <w:tblPr>
        <w:tblStyle w:val="3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 w14:paraId="129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62797EC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/>
                <w:sz w:val="21"/>
              </w:rPr>
              <w:t>中文负载词</w:t>
            </w:r>
          </w:p>
        </w:tc>
        <w:tc>
          <w:tcPr>
            <w:tcW w:w="2160" w:type="dxa"/>
          </w:tcPr>
          <w:p w14:paraId="3899FE3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/>
                <w:sz w:val="21"/>
              </w:rPr>
              <w:t>官方英文译文</w:t>
            </w:r>
          </w:p>
        </w:tc>
        <w:tc>
          <w:tcPr>
            <w:tcW w:w="2160" w:type="dxa"/>
          </w:tcPr>
          <w:p w14:paraId="4793155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/>
                <w:sz w:val="21"/>
              </w:rPr>
              <w:t>出现时间</w:t>
            </w:r>
          </w:p>
        </w:tc>
        <w:tc>
          <w:tcPr>
            <w:tcW w:w="2160" w:type="dxa"/>
          </w:tcPr>
          <w:p w14:paraId="5B304F2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/>
                <w:sz w:val="21"/>
              </w:rPr>
              <w:t>文化内涵简述</w:t>
            </w:r>
          </w:p>
        </w:tc>
      </w:tr>
      <w:tr w14:paraId="27AC3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582AA8F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自然的馈赠</w:t>
            </w:r>
          </w:p>
        </w:tc>
        <w:tc>
          <w:tcPr>
            <w:tcW w:w="2160" w:type="dxa"/>
          </w:tcPr>
          <w:p w14:paraId="4FE5438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gifts from nature</w:t>
            </w:r>
          </w:p>
        </w:tc>
        <w:tc>
          <w:tcPr>
            <w:tcW w:w="2160" w:type="dxa"/>
          </w:tcPr>
          <w:p w14:paraId="104E3B3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00:01:25</w:t>
            </w:r>
          </w:p>
        </w:tc>
        <w:tc>
          <w:tcPr>
            <w:tcW w:w="2160" w:type="dxa"/>
          </w:tcPr>
          <w:p w14:paraId="709AA9A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顺应时节、敬畏自然的饮食观</w:t>
            </w:r>
          </w:p>
        </w:tc>
      </w:tr>
      <w:tr w14:paraId="4F671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3130303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松茸</w:t>
            </w:r>
          </w:p>
        </w:tc>
        <w:tc>
          <w:tcPr>
            <w:tcW w:w="2160" w:type="dxa"/>
          </w:tcPr>
          <w:p w14:paraId="53DEA1D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matsutake</w:t>
            </w:r>
          </w:p>
        </w:tc>
        <w:tc>
          <w:tcPr>
            <w:tcW w:w="2160" w:type="dxa"/>
          </w:tcPr>
          <w:p w14:paraId="06ED45D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00:02:33</w:t>
            </w:r>
          </w:p>
        </w:tc>
        <w:tc>
          <w:tcPr>
            <w:tcW w:w="2160" w:type="dxa"/>
          </w:tcPr>
          <w:p w14:paraId="12E36D5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珍稀食用菌，文化空缺词</w:t>
            </w:r>
          </w:p>
        </w:tc>
      </w:tr>
      <w:tr w14:paraId="22DC2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171E595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腌笃鲜</w:t>
            </w:r>
          </w:p>
        </w:tc>
        <w:tc>
          <w:tcPr>
            <w:tcW w:w="2160" w:type="dxa"/>
          </w:tcPr>
          <w:p w14:paraId="77315B7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Yan Du Xian</w:t>
            </w:r>
          </w:p>
        </w:tc>
        <w:tc>
          <w:tcPr>
            <w:tcW w:w="2160" w:type="dxa"/>
          </w:tcPr>
          <w:p w14:paraId="334C6EA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00:13:50</w:t>
            </w:r>
          </w:p>
        </w:tc>
        <w:tc>
          <w:tcPr>
            <w:tcW w:w="2160" w:type="dxa"/>
          </w:tcPr>
          <w:p w14:paraId="33BD41D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江南传统时令菜名</w:t>
            </w:r>
          </w:p>
        </w:tc>
      </w:tr>
      <w:tr w14:paraId="30DD4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3D76251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诺邓火腿</w:t>
            </w:r>
          </w:p>
        </w:tc>
        <w:tc>
          <w:tcPr>
            <w:tcW w:w="2160" w:type="dxa"/>
          </w:tcPr>
          <w:p w14:paraId="6701269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Nuodeng ham</w:t>
            </w:r>
          </w:p>
        </w:tc>
        <w:tc>
          <w:tcPr>
            <w:tcW w:w="2160" w:type="dxa"/>
          </w:tcPr>
          <w:p w14:paraId="3ACD1F4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00:16:20</w:t>
            </w:r>
          </w:p>
        </w:tc>
        <w:tc>
          <w:tcPr>
            <w:tcW w:w="2160" w:type="dxa"/>
          </w:tcPr>
          <w:p w14:paraId="3F07BC5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云南特色火腿</w:t>
            </w:r>
          </w:p>
        </w:tc>
      </w:tr>
      <w:tr w14:paraId="0328E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5095FCD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江南</w:t>
            </w:r>
          </w:p>
        </w:tc>
        <w:tc>
          <w:tcPr>
            <w:tcW w:w="2160" w:type="dxa"/>
          </w:tcPr>
          <w:p w14:paraId="6067A5A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the south of the Yangtze River</w:t>
            </w:r>
          </w:p>
        </w:tc>
        <w:tc>
          <w:tcPr>
            <w:tcW w:w="2160" w:type="dxa"/>
          </w:tcPr>
          <w:p w14:paraId="736788E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00:12:30</w:t>
            </w:r>
          </w:p>
        </w:tc>
        <w:tc>
          <w:tcPr>
            <w:tcW w:w="2160" w:type="dxa"/>
          </w:tcPr>
          <w:p w14:paraId="7DE057E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独特饮食文化的地域概念</w:t>
            </w:r>
          </w:p>
        </w:tc>
      </w:tr>
    </w:tbl>
    <w:p w14:paraId="04CC5E52">
      <w:pPr>
        <w:spacing w:line="360" w:lineRule="auto"/>
      </w:pPr>
      <w:r>
        <w:rPr>
          <w:rFonts w:ascii="Times New Roman" w:hAnsi="Times New Roman" w:eastAsia="宋体"/>
          <w:b w:val="0"/>
          <w:sz w:val="24"/>
        </w:rPr>
        <w:t>原始语料见附件“完整语料.xlsx”，共 22 条。</w:t>
      </w:r>
    </w:p>
    <w:p w14:paraId="0C9E0071">
      <w:pPr>
        <w:spacing w:before="200" w:after="120"/>
        <w:outlineLvl w:val="0"/>
      </w:pPr>
      <w:bookmarkStart w:id="7" w:name="_Toc323"/>
      <w:r>
        <w:rPr>
          <w:rFonts w:ascii="Times New Roman" w:hAnsi="Times New Roman" w:eastAsia="黑体"/>
          <w:b/>
          <w:sz w:val="30"/>
        </w:rPr>
        <w:t>四、方法说明</w:t>
      </w:r>
      <w:bookmarkEnd w:id="7"/>
    </w:p>
    <w:p w14:paraId="71916913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本研究主要采用语料库分析与人工编码相结合的方法，对每个负载词从两个层面进行标注。</w:t>
      </w:r>
    </w:p>
    <w:p w14:paraId="4FBAE529">
      <w:pPr>
        <w:spacing w:before="120" w:after="80"/>
        <w:outlineLvl w:val="1"/>
      </w:pPr>
      <w:bookmarkStart w:id="8" w:name="_Toc15685"/>
      <w:r>
        <w:rPr>
          <w:rFonts w:ascii="Times New Roman" w:hAnsi="Times New Roman" w:eastAsia="黑体"/>
          <w:b/>
          <w:sz w:val="26"/>
        </w:rPr>
        <w:t>4.1 翻译方法（怎么译的）</w:t>
      </w:r>
      <w:bookmarkEnd w:id="8"/>
    </w:p>
    <w:p w14:paraId="7FB9E7D8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根据译文的具体处理方式，把翻译方法分为五类：直译（按字面对应）、音译（按读音转写）、意译（按意思或功能译）、概括化（用更大的类别词代替具体词）、释义（解释性地说明）。</w:t>
      </w:r>
    </w:p>
    <w:p w14:paraId="0083A5AC">
      <w:pPr>
        <w:spacing w:before="120" w:after="80"/>
        <w:outlineLvl w:val="1"/>
      </w:pPr>
      <w:bookmarkStart w:id="9" w:name="_Toc18798"/>
      <w:r>
        <w:rPr>
          <w:rFonts w:ascii="Times New Roman" w:hAnsi="Times New Roman" w:eastAsia="黑体"/>
          <w:b/>
          <w:sz w:val="26"/>
        </w:rPr>
        <w:t>4.2 翻译策略（整体偏向）</w:t>
      </w:r>
      <w:bookmarkEnd w:id="9"/>
    </w:p>
    <w:p w14:paraId="0D02DF71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在策略层面，参考韦努蒂（Venuti）提出的归化与异化。归化是指译成英语读者熟悉的样子，读起来顺、好懂；异化是指保留中国文化特色，让读者感受到异域色彩。判定时约定：音译一律算异化；直译要看是否保留了中式特有意象，保留的算异化，只是用英语已有词对应的算归化；意译、释义、概括化基本都算归化。</w:t>
      </w:r>
    </w:p>
    <w:p w14:paraId="04A79292">
      <w:pPr>
        <w:spacing w:before="120" w:after="80"/>
        <w:outlineLvl w:val="1"/>
      </w:pPr>
      <w:bookmarkStart w:id="10" w:name="_Toc14618"/>
      <w:r>
        <w:rPr>
          <w:rFonts w:ascii="Times New Roman" w:hAnsi="Times New Roman" w:eastAsia="黑体"/>
          <w:b/>
          <w:sz w:val="26"/>
        </w:rPr>
        <w:t>4.3 统计工具与流程</w:t>
      </w:r>
      <w:bookmarkEnd w:id="10"/>
    </w:p>
    <w:p w14:paraId="38F71643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统计与作图使用 Python 完成，主要用到 pandas 和 matplotlib 两个库（代码见附件 translation_analysis.py）。具体流程是：先把 22 个词的翻译方法和归化/异化标注好，存成编码表；再统计各类方法和策略的数量；最后画出柱状图、饼图和堆叠柱状图。为保证编码可靠，两名成员先各自独立试编码，再比对、讨论分歧、统一标准，然后重新完成全部编码。</w:t>
      </w:r>
    </w:p>
    <w:p w14:paraId="2F312E5F">
      <w:pPr>
        <w:spacing w:before="200" w:after="120"/>
        <w:outlineLvl w:val="0"/>
      </w:pPr>
      <w:bookmarkStart w:id="11" w:name="_Toc28557"/>
      <w:r>
        <w:rPr>
          <w:rFonts w:ascii="Times New Roman" w:hAnsi="Times New Roman" w:eastAsia="黑体"/>
          <w:b/>
          <w:sz w:val="30"/>
        </w:rPr>
        <w:t>五、分析结果</w:t>
      </w:r>
      <w:bookmarkEnd w:id="11"/>
    </w:p>
    <w:p w14:paraId="3FD7B927">
      <w:pPr>
        <w:spacing w:before="120" w:after="80"/>
        <w:outlineLvl w:val="1"/>
      </w:pPr>
      <w:bookmarkStart w:id="12" w:name="_Toc13818"/>
      <w:r>
        <w:rPr>
          <w:rFonts w:ascii="Times New Roman" w:hAnsi="Times New Roman" w:eastAsia="黑体"/>
          <w:b/>
          <w:sz w:val="26"/>
        </w:rPr>
        <w:t>5.1 翻译方法分布</w:t>
      </w:r>
      <w:bookmarkEnd w:id="12"/>
    </w:p>
    <w:p w14:paraId="302215BE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22 个饮食文化负载词的翻译方法分布如表2和图1所示。直译使用最多，共 13 例，占 59.1%；其余依次为意译 3 例、音译 2 例、概括化 2 例、释义 2 例。可以看出，直译是处理这类词时最常用的办法。</w:t>
      </w:r>
    </w:p>
    <w:p w14:paraId="71864D11">
      <w:pPr>
        <w:jc w:val="center"/>
      </w:pPr>
      <w:r>
        <w:rPr>
          <w:rFonts w:ascii="Times New Roman" w:hAnsi="Times New Roman" w:eastAsia="宋体"/>
          <w:b/>
          <w:sz w:val="21"/>
        </w:rPr>
        <w:t>表2 翻译方法频次分布</w:t>
      </w:r>
    </w:p>
    <w:tbl>
      <w:tblPr>
        <w:tblStyle w:val="3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6184D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095614B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/>
                <w:sz w:val="21"/>
              </w:rPr>
              <w:t>翻译方法</w:t>
            </w:r>
          </w:p>
        </w:tc>
        <w:tc>
          <w:tcPr>
            <w:tcW w:w="2880" w:type="dxa"/>
          </w:tcPr>
          <w:p w14:paraId="08702CD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/>
                <w:sz w:val="21"/>
              </w:rPr>
              <w:t>数量</w:t>
            </w:r>
          </w:p>
        </w:tc>
        <w:tc>
          <w:tcPr>
            <w:tcW w:w="2880" w:type="dxa"/>
          </w:tcPr>
          <w:p w14:paraId="35697DC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/>
                <w:sz w:val="21"/>
              </w:rPr>
              <w:t>占比</w:t>
            </w:r>
          </w:p>
        </w:tc>
      </w:tr>
      <w:tr w14:paraId="4AAF3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6F862AE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直译</w:t>
            </w:r>
          </w:p>
        </w:tc>
        <w:tc>
          <w:tcPr>
            <w:tcW w:w="2880" w:type="dxa"/>
          </w:tcPr>
          <w:p w14:paraId="1DE3D54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13</w:t>
            </w:r>
          </w:p>
        </w:tc>
        <w:tc>
          <w:tcPr>
            <w:tcW w:w="2880" w:type="dxa"/>
          </w:tcPr>
          <w:p w14:paraId="7FD4012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59.1%</w:t>
            </w:r>
          </w:p>
        </w:tc>
      </w:tr>
      <w:tr w14:paraId="65F0A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56A331E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意译</w:t>
            </w:r>
          </w:p>
        </w:tc>
        <w:tc>
          <w:tcPr>
            <w:tcW w:w="2880" w:type="dxa"/>
          </w:tcPr>
          <w:p w14:paraId="173360A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3</w:t>
            </w:r>
          </w:p>
        </w:tc>
        <w:tc>
          <w:tcPr>
            <w:tcW w:w="2880" w:type="dxa"/>
          </w:tcPr>
          <w:p w14:paraId="2D7DEA0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13.6%</w:t>
            </w:r>
          </w:p>
        </w:tc>
      </w:tr>
      <w:tr w14:paraId="5A9CA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15D0E16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音译</w:t>
            </w:r>
          </w:p>
        </w:tc>
        <w:tc>
          <w:tcPr>
            <w:tcW w:w="2880" w:type="dxa"/>
          </w:tcPr>
          <w:p w14:paraId="4AF2CF8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2</w:t>
            </w:r>
          </w:p>
        </w:tc>
        <w:tc>
          <w:tcPr>
            <w:tcW w:w="2880" w:type="dxa"/>
          </w:tcPr>
          <w:p w14:paraId="3609234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9.1%</w:t>
            </w:r>
          </w:p>
        </w:tc>
      </w:tr>
      <w:tr w14:paraId="5BD9C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1939B31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概括化</w:t>
            </w:r>
          </w:p>
        </w:tc>
        <w:tc>
          <w:tcPr>
            <w:tcW w:w="2880" w:type="dxa"/>
          </w:tcPr>
          <w:p w14:paraId="38A3C07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2</w:t>
            </w:r>
          </w:p>
        </w:tc>
        <w:tc>
          <w:tcPr>
            <w:tcW w:w="2880" w:type="dxa"/>
          </w:tcPr>
          <w:p w14:paraId="6697613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9.1%</w:t>
            </w:r>
          </w:p>
        </w:tc>
      </w:tr>
      <w:tr w14:paraId="3125F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57D47D3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释义</w:t>
            </w:r>
          </w:p>
        </w:tc>
        <w:tc>
          <w:tcPr>
            <w:tcW w:w="2880" w:type="dxa"/>
          </w:tcPr>
          <w:p w14:paraId="1BB2B6B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2</w:t>
            </w:r>
          </w:p>
        </w:tc>
        <w:tc>
          <w:tcPr>
            <w:tcW w:w="2880" w:type="dxa"/>
          </w:tcPr>
          <w:p w14:paraId="4927432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9.1%</w:t>
            </w:r>
          </w:p>
        </w:tc>
      </w:tr>
      <w:tr w14:paraId="7AD5D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7199E31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合计</w:t>
            </w:r>
          </w:p>
        </w:tc>
        <w:tc>
          <w:tcPr>
            <w:tcW w:w="2880" w:type="dxa"/>
          </w:tcPr>
          <w:p w14:paraId="11F0EB6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22</w:t>
            </w:r>
          </w:p>
        </w:tc>
        <w:tc>
          <w:tcPr>
            <w:tcW w:w="2880" w:type="dxa"/>
          </w:tcPr>
          <w:p w14:paraId="68E1C9F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100%</w:t>
            </w:r>
          </w:p>
        </w:tc>
      </w:tr>
    </w:tbl>
    <w:p w14:paraId="6DAACAC7">
      <w:pPr>
        <w:jc w:val="center"/>
      </w:pPr>
      <w:r>
        <w:drawing>
          <wp:inline distT="0" distB="0" distL="114300" distR="114300">
            <wp:extent cx="4754880" cy="297180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488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D275E">
      <w:pPr>
        <w:jc w:val="center"/>
      </w:pPr>
      <w:r>
        <w:rPr>
          <w:rFonts w:ascii="Times New Roman" w:hAnsi="Times New Roman" w:eastAsia="宋体"/>
          <w:b w:val="0"/>
          <w:sz w:val="21"/>
        </w:rPr>
        <w:t>图1 翻译方法分布</w:t>
      </w:r>
    </w:p>
    <w:p w14:paraId="3FF8B4CD">
      <w:pPr>
        <w:spacing w:before="120" w:after="80"/>
        <w:outlineLvl w:val="1"/>
      </w:pPr>
      <w:bookmarkStart w:id="13" w:name="_Toc30420"/>
      <w:r>
        <w:rPr>
          <w:rFonts w:ascii="Times New Roman" w:hAnsi="Times New Roman" w:eastAsia="黑体"/>
          <w:b/>
          <w:sz w:val="26"/>
        </w:rPr>
        <w:t>5.2 归化与异化分布</w:t>
      </w:r>
      <w:bookmarkEnd w:id="13"/>
    </w:p>
    <w:p w14:paraId="24AFC126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从翻译策略来看（见表3和图2），归化策略明显占主导，共 17 例，占 77.3%；异化策略 5 例，占 22.7%。这说明在把饮食文化负载词译成英语时，译者总体上更倾向于照顾英语读者的理解习惯。</w:t>
      </w:r>
    </w:p>
    <w:p w14:paraId="376420E0">
      <w:pPr>
        <w:jc w:val="center"/>
      </w:pPr>
      <w:r>
        <w:rPr>
          <w:rFonts w:ascii="Times New Roman" w:hAnsi="Times New Roman" w:eastAsia="宋体"/>
          <w:b/>
          <w:sz w:val="21"/>
        </w:rPr>
        <w:t>表3 归化与异化分布</w:t>
      </w:r>
    </w:p>
    <w:tbl>
      <w:tblPr>
        <w:tblStyle w:val="3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1BBF9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0DECD8E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/>
                <w:sz w:val="21"/>
              </w:rPr>
              <w:t>翻译策略</w:t>
            </w:r>
          </w:p>
        </w:tc>
        <w:tc>
          <w:tcPr>
            <w:tcW w:w="2880" w:type="dxa"/>
          </w:tcPr>
          <w:p w14:paraId="4644822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/>
                <w:sz w:val="21"/>
              </w:rPr>
              <w:t>数量</w:t>
            </w:r>
          </w:p>
        </w:tc>
        <w:tc>
          <w:tcPr>
            <w:tcW w:w="2880" w:type="dxa"/>
          </w:tcPr>
          <w:p w14:paraId="589D6EE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/>
                <w:sz w:val="21"/>
              </w:rPr>
              <w:t>占比</w:t>
            </w:r>
          </w:p>
        </w:tc>
      </w:tr>
      <w:tr w14:paraId="3D4A2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4DBA4B6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归化</w:t>
            </w:r>
          </w:p>
        </w:tc>
        <w:tc>
          <w:tcPr>
            <w:tcW w:w="2880" w:type="dxa"/>
          </w:tcPr>
          <w:p w14:paraId="65FE9E1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17</w:t>
            </w:r>
          </w:p>
        </w:tc>
        <w:tc>
          <w:tcPr>
            <w:tcW w:w="2880" w:type="dxa"/>
          </w:tcPr>
          <w:p w14:paraId="245977D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77.3%</w:t>
            </w:r>
          </w:p>
        </w:tc>
      </w:tr>
      <w:tr w14:paraId="41E49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72D001C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异化</w:t>
            </w:r>
          </w:p>
        </w:tc>
        <w:tc>
          <w:tcPr>
            <w:tcW w:w="2880" w:type="dxa"/>
          </w:tcPr>
          <w:p w14:paraId="4AD7F22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5</w:t>
            </w:r>
          </w:p>
        </w:tc>
        <w:tc>
          <w:tcPr>
            <w:tcW w:w="2880" w:type="dxa"/>
          </w:tcPr>
          <w:p w14:paraId="5E2DA8B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22.7%</w:t>
            </w:r>
          </w:p>
        </w:tc>
      </w:tr>
      <w:tr w14:paraId="291A6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0C468FB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合计</w:t>
            </w:r>
          </w:p>
        </w:tc>
        <w:tc>
          <w:tcPr>
            <w:tcW w:w="2880" w:type="dxa"/>
          </w:tcPr>
          <w:p w14:paraId="56A33BE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22</w:t>
            </w:r>
          </w:p>
        </w:tc>
        <w:tc>
          <w:tcPr>
            <w:tcW w:w="2880" w:type="dxa"/>
          </w:tcPr>
          <w:p w14:paraId="36FA31E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100%</w:t>
            </w:r>
          </w:p>
        </w:tc>
      </w:tr>
    </w:tbl>
    <w:p w14:paraId="44614F22">
      <w:pPr>
        <w:jc w:val="center"/>
      </w:pPr>
      <w:r>
        <w:drawing>
          <wp:inline distT="0" distB="0" distL="114300" distR="114300">
            <wp:extent cx="3812540" cy="3812540"/>
            <wp:effectExtent l="0" t="0" r="16510" b="165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2540" cy="381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92712">
      <w:pPr>
        <w:jc w:val="center"/>
      </w:pPr>
      <w:r>
        <w:rPr>
          <w:rFonts w:ascii="Times New Roman" w:hAnsi="Times New Roman" w:eastAsia="宋体"/>
          <w:b w:val="0"/>
          <w:sz w:val="21"/>
        </w:rPr>
        <w:t>图2 归化与异化策略占比</w:t>
      </w:r>
    </w:p>
    <w:p w14:paraId="6F7B757E">
      <w:pPr>
        <w:spacing w:before="120" w:after="80"/>
        <w:outlineLvl w:val="1"/>
      </w:pPr>
      <w:bookmarkStart w:id="14" w:name="_Toc17303"/>
      <w:r>
        <w:rPr>
          <w:rFonts w:ascii="Times New Roman" w:hAnsi="Times New Roman" w:eastAsia="黑体"/>
          <w:b/>
          <w:sz w:val="26"/>
        </w:rPr>
        <w:t>5.3 翻译方法与策略的交叉分析</w:t>
      </w:r>
      <w:bookmarkEnd w:id="14"/>
    </w:p>
    <w:p w14:paraId="2F493F65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把翻译方法和归化/异化放在一起看（见表4和图3），可以发现：异化全部来自音译（2 例）和保留中式意象的直译（3 例）；直译内部既有归化也有异化，其中 10 例属于归化、3 例属于异化；意译、概括化、释义则全部是归化。这说明“直译”本身并不等于异化，关键要看它有没有保留中国文化特有的意象。</w:t>
      </w:r>
    </w:p>
    <w:p w14:paraId="16CCB794">
      <w:pPr>
        <w:jc w:val="center"/>
      </w:pPr>
      <w:r>
        <w:rPr>
          <w:rFonts w:ascii="Times New Roman" w:hAnsi="Times New Roman" w:eastAsia="宋体"/>
          <w:b/>
          <w:sz w:val="21"/>
        </w:rPr>
        <w:t>表4 翻译方法与策略交叉表</w:t>
      </w:r>
    </w:p>
    <w:tbl>
      <w:tblPr>
        <w:tblStyle w:val="3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 w14:paraId="033CB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3205E15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/>
                <w:sz w:val="21"/>
              </w:rPr>
              <w:t>翻译方法</w:t>
            </w:r>
          </w:p>
        </w:tc>
        <w:tc>
          <w:tcPr>
            <w:tcW w:w="2160" w:type="dxa"/>
          </w:tcPr>
          <w:p w14:paraId="0346EF3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/>
                <w:sz w:val="21"/>
              </w:rPr>
              <w:t>归化</w:t>
            </w:r>
          </w:p>
        </w:tc>
        <w:tc>
          <w:tcPr>
            <w:tcW w:w="2160" w:type="dxa"/>
          </w:tcPr>
          <w:p w14:paraId="780B22F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/>
                <w:sz w:val="21"/>
              </w:rPr>
              <w:t>异化</w:t>
            </w:r>
          </w:p>
        </w:tc>
        <w:tc>
          <w:tcPr>
            <w:tcW w:w="2160" w:type="dxa"/>
          </w:tcPr>
          <w:p w14:paraId="7CFD7A5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/>
                <w:sz w:val="21"/>
              </w:rPr>
              <w:t>合计</w:t>
            </w:r>
          </w:p>
        </w:tc>
      </w:tr>
      <w:tr w14:paraId="66C7E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61D38FE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直译</w:t>
            </w:r>
          </w:p>
        </w:tc>
        <w:tc>
          <w:tcPr>
            <w:tcW w:w="2160" w:type="dxa"/>
          </w:tcPr>
          <w:p w14:paraId="122CE68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10</w:t>
            </w:r>
          </w:p>
        </w:tc>
        <w:tc>
          <w:tcPr>
            <w:tcW w:w="2160" w:type="dxa"/>
          </w:tcPr>
          <w:p w14:paraId="7FE6414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3</w:t>
            </w:r>
          </w:p>
        </w:tc>
        <w:tc>
          <w:tcPr>
            <w:tcW w:w="2160" w:type="dxa"/>
          </w:tcPr>
          <w:p w14:paraId="2281721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13</w:t>
            </w:r>
          </w:p>
        </w:tc>
      </w:tr>
      <w:tr w14:paraId="23032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7AD34A0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意译</w:t>
            </w:r>
          </w:p>
        </w:tc>
        <w:tc>
          <w:tcPr>
            <w:tcW w:w="2160" w:type="dxa"/>
          </w:tcPr>
          <w:p w14:paraId="7054ADB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3</w:t>
            </w:r>
          </w:p>
        </w:tc>
        <w:tc>
          <w:tcPr>
            <w:tcW w:w="2160" w:type="dxa"/>
          </w:tcPr>
          <w:p w14:paraId="0C15B0E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</w:t>
            </w:r>
          </w:p>
        </w:tc>
        <w:tc>
          <w:tcPr>
            <w:tcW w:w="2160" w:type="dxa"/>
          </w:tcPr>
          <w:p w14:paraId="5CD0329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3</w:t>
            </w:r>
          </w:p>
        </w:tc>
      </w:tr>
      <w:tr w14:paraId="5882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7469A1D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音译</w:t>
            </w:r>
          </w:p>
        </w:tc>
        <w:tc>
          <w:tcPr>
            <w:tcW w:w="2160" w:type="dxa"/>
          </w:tcPr>
          <w:p w14:paraId="269CB95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</w:t>
            </w:r>
          </w:p>
        </w:tc>
        <w:tc>
          <w:tcPr>
            <w:tcW w:w="2160" w:type="dxa"/>
          </w:tcPr>
          <w:p w14:paraId="293A444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2</w:t>
            </w:r>
          </w:p>
        </w:tc>
        <w:tc>
          <w:tcPr>
            <w:tcW w:w="2160" w:type="dxa"/>
          </w:tcPr>
          <w:p w14:paraId="2AD23B1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2</w:t>
            </w:r>
          </w:p>
        </w:tc>
      </w:tr>
      <w:tr w14:paraId="284A6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25BE864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概括化</w:t>
            </w:r>
          </w:p>
        </w:tc>
        <w:tc>
          <w:tcPr>
            <w:tcW w:w="2160" w:type="dxa"/>
          </w:tcPr>
          <w:p w14:paraId="556C336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2</w:t>
            </w:r>
          </w:p>
        </w:tc>
        <w:tc>
          <w:tcPr>
            <w:tcW w:w="2160" w:type="dxa"/>
          </w:tcPr>
          <w:p w14:paraId="7D9D77C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</w:t>
            </w:r>
          </w:p>
        </w:tc>
        <w:tc>
          <w:tcPr>
            <w:tcW w:w="2160" w:type="dxa"/>
          </w:tcPr>
          <w:p w14:paraId="5AD9E36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2</w:t>
            </w:r>
          </w:p>
        </w:tc>
      </w:tr>
      <w:tr w14:paraId="68E68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7E192EB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释义</w:t>
            </w:r>
          </w:p>
        </w:tc>
        <w:tc>
          <w:tcPr>
            <w:tcW w:w="2160" w:type="dxa"/>
          </w:tcPr>
          <w:p w14:paraId="7942E3B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2</w:t>
            </w:r>
          </w:p>
        </w:tc>
        <w:tc>
          <w:tcPr>
            <w:tcW w:w="2160" w:type="dxa"/>
          </w:tcPr>
          <w:p w14:paraId="79C470D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</w:t>
            </w:r>
          </w:p>
        </w:tc>
        <w:tc>
          <w:tcPr>
            <w:tcW w:w="2160" w:type="dxa"/>
          </w:tcPr>
          <w:p w14:paraId="04C0076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2</w:t>
            </w:r>
          </w:p>
        </w:tc>
      </w:tr>
      <w:tr w14:paraId="41EA4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7BF5CF5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合计</w:t>
            </w:r>
          </w:p>
        </w:tc>
        <w:tc>
          <w:tcPr>
            <w:tcW w:w="2160" w:type="dxa"/>
          </w:tcPr>
          <w:p w14:paraId="2FD799E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17</w:t>
            </w:r>
          </w:p>
        </w:tc>
        <w:tc>
          <w:tcPr>
            <w:tcW w:w="2160" w:type="dxa"/>
          </w:tcPr>
          <w:p w14:paraId="75CDBF0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5</w:t>
            </w:r>
          </w:p>
        </w:tc>
        <w:tc>
          <w:tcPr>
            <w:tcW w:w="2160" w:type="dxa"/>
          </w:tcPr>
          <w:p w14:paraId="375F5CC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22</w:t>
            </w:r>
          </w:p>
        </w:tc>
      </w:tr>
    </w:tbl>
    <w:p w14:paraId="0B08A709">
      <w:pPr>
        <w:jc w:val="center"/>
      </w:pPr>
      <w:r>
        <w:drawing>
          <wp:inline distT="0" distB="0" distL="114300" distR="114300">
            <wp:extent cx="4754880" cy="2971800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488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BACDC">
      <w:pPr>
        <w:jc w:val="center"/>
      </w:pPr>
      <w:r>
        <w:rPr>
          <w:rFonts w:ascii="Times New Roman" w:hAnsi="Times New Roman" w:eastAsia="宋体"/>
          <w:b w:val="0"/>
          <w:sz w:val="21"/>
        </w:rPr>
        <w:t>图3 不同翻译方法中的归化/异化分布</w:t>
      </w:r>
    </w:p>
    <w:p w14:paraId="4CC13FED">
      <w:pPr>
        <w:spacing w:before="200" w:after="120"/>
        <w:outlineLvl w:val="0"/>
      </w:pPr>
      <w:bookmarkStart w:id="15" w:name="_Toc3142"/>
      <w:r>
        <w:rPr>
          <w:rFonts w:ascii="Times New Roman" w:hAnsi="Times New Roman" w:eastAsia="黑体"/>
          <w:b/>
          <w:sz w:val="30"/>
        </w:rPr>
        <w:t>六、讨论</w:t>
      </w:r>
      <w:bookmarkEnd w:id="15"/>
    </w:p>
    <w:p w14:paraId="184E022B">
      <w:pPr>
        <w:spacing w:before="120" w:after="80"/>
        <w:outlineLvl w:val="1"/>
      </w:pPr>
      <w:bookmarkStart w:id="16" w:name="_Toc20097"/>
      <w:r>
        <w:rPr>
          <w:rFonts w:ascii="Times New Roman" w:hAnsi="Times New Roman" w:eastAsia="黑体"/>
          <w:b/>
          <w:sz w:val="26"/>
        </w:rPr>
        <w:t>6.1 为什么归化占主导</w:t>
      </w:r>
      <w:bookmarkEnd w:id="16"/>
    </w:p>
    <w:p w14:paraId="24875366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归化之所以占多数，主要和纪录片这种体裁有关。字幕一闪而过，观众没有时间停下来琢磨，所以译文必须好懂、不绕。把“莲藕”译成 lotus root、“清炒”译成 stir-fries、“粉糯”译成 starchy，都是用英语里本来就有的说法，观众一看就明白。这种处理牺牲了一点中国味道，但换来了顺畅的观看体验，对于面向大众的纪录片来说是合理的选择。</w:t>
      </w:r>
    </w:p>
    <w:p w14:paraId="645065A0">
      <w:pPr>
        <w:spacing w:before="120" w:after="80"/>
        <w:outlineLvl w:val="1"/>
      </w:pPr>
      <w:bookmarkStart w:id="17" w:name="_Toc30572"/>
      <w:r>
        <w:rPr>
          <w:rFonts w:ascii="Times New Roman" w:hAnsi="Times New Roman" w:eastAsia="黑体"/>
          <w:b/>
          <w:sz w:val="26"/>
        </w:rPr>
        <w:t>6.2 异化用在什么地方</w:t>
      </w:r>
      <w:bookmarkEnd w:id="17"/>
    </w:p>
    <w:p w14:paraId="71463EB1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异化虽然占比不高，但用得很有讲究，主要集中在两类词上。第一类是文化空缺的特色名称，比如“松茸”译成 matsutake、“腌笃鲜”译成 Yan Du Xian。这些东西英语里没有对应的词，硬要意译反而别扭，音译既保留了原汁原味，也有利于中国饮食名称走向世界。第二类是承载中式生态、哲学理念的概念，比如“自然的馈赠”（gifts from nature）、“山林的规矩”（rules of the forest）、“人与自然和谐共生”（harmony between humanity and nature）。这些词直译保留了原有的意象，能把中国人“顺应自然、敬畏自然”的价值观传递出去，正是文化传播想要的效果。</w:t>
      </w:r>
    </w:p>
    <w:p w14:paraId="1E060D22">
      <w:pPr>
        <w:spacing w:before="120" w:after="80"/>
        <w:outlineLvl w:val="1"/>
      </w:pPr>
      <w:bookmarkStart w:id="18" w:name="_Toc8326"/>
      <w:r>
        <w:rPr>
          <w:rFonts w:ascii="Times New Roman" w:hAnsi="Times New Roman" w:eastAsia="黑体"/>
          <w:b/>
          <w:sz w:val="26"/>
        </w:rPr>
        <w:t>6.3 典型案例分析</w:t>
      </w:r>
      <w:bookmarkEnd w:id="18"/>
    </w:p>
    <w:p w14:paraId="26CC9DF8">
      <w:pPr>
        <w:spacing w:line="360" w:lineRule="auto"/>
      </w:pPr>
      <w:r>
        <w:rPr>
          <w:rFonts w:ascii="Times New Roman" w:hAnsi="Times New Roman" w:eastAsia="宋体"/>
          <w:b w:val="0"/>
          <w:sz w:val="24"/>
        </w:rPr>
        <w:t>（1）松茸 → matsutake：典型的音译异化。松茸是文化空缺词，音译保留了它的独特性，但对完全不了解的读者来说仍有理解门槛，在书面文本里通常还会加一点注释来帮助理解。</w:t>
      </w:r>
    </w:p>
    <w:p w14:paraId="3A0EEE91">
      <w:pPr>
        <w:spacing w:line="360" w:lineRule="auto"/>
      </w:pPr>
      <w:r>
        <w:rPr>
          <w:rFonts w:ascii="Times New Roman" w:hAnsi="Times New Roman" w:eastAsia="宋体"/>
          <w:b w:val="0"/>
          <w:sz w:val="24"/>
        </w:rPr>
        <w:t>（2）江南 → the south of the Yangtze River：典型的释义归化。没有直接音译成 Jiangnan，而是用读者熟悉的地理说法解释清楚位置，降低了理解难度。</w:t>
      </w:r>
    </w:p>
    <w:p w14:paraId="2E7572BB">
      <w:pPr>
        <w:spacing w:line="360" w:lineRule="auto"/>
      </w:pPr>
      <w:r>
        <w:rPr>
          <w:rFonts w:ascii="Times New Roman" w:hAnsi="Times New Roman" w:eastAsia="宋体"/>
          <w:b w:val="0"/>
          <w:sz w:val="24"/>
        </w:rPr>
        <w:t>（3）毛竹 → bamboo：概括化归化。没有纠结“毛竹”具体是哪一种竹子，直接用上位词 bamboo，简单明了。</w:t>
      </w:r>
    </w:p>
    <w:p w14:paraId="5F72856F">
      <w:pPr>
        <w:spacing w:line="360" w:lineRule="auto"/>
      </w:pPr>
      <w:r>
        <w:rPr>
          <w:rFonts w:ascii="Times New Roman" w:hAnsi="Times New Roman" w:eastAsia="宋体"/>
          <w:b w:val="0"/>
          <w:sz w:val="24"/>
        </w:rPr>
        <w:t>（4）人与自然和谐共生 → harmony between humanity and nature：直译异化。完整保留了原句的理念，把中式生态智慧原样传递给观众。</w:t>
      </w:r>
    </w:p>
    <w:p w14:paraId="609C06BC">
      <w:pPr>
        <w:spacing w:before="120" w:after="80"/>
        <w:outlineLvl w:val="1"/>
      </w:pPr>
      <w:bookmarkStart w:id="19" w:name="_Toc8603"/>
      <w:r>
        <w:rPr>
          <w:rFonts w:ascii="Times New Roman" w:hAnsi="Times New Roman" w:eastAsia="黑体"/>
          <w:b/>
          <w:sz w:val="26"/>
        </w:rPr>
        <w:t>6.4 对智能语言产业的启示</w:t>
      </w:r>
      <w:bookmarkEnd w:id="19"/>
    </w:p>
    <w:p w14:paraId="45933CA5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本研究虽然规模不大，但对智能语言产业有一些直接的启示。第一，机器翻译在处理文化负载词时还很吃力，尤其是音译专名和带文化意象的概念，常常译错或译得生硬，这说明纯靠机器还不够，需要人来把关。第二，像本研究这样人工标注好翻译方法和策略的双语语料，正是训练和评测机器翻译、智能字幕的宝贵数据，建设专门的“中式饮食文化双语术语库/语料库”很有价值。第三，比较现实的做法是“人机协作”：让 AI 先做初步翻译，再由懂文化的译者重点校对那些文化负载词。这样既能提高效率，又能保证质量，也是智能语言产业未来的发展方向。</w:t>
      </w:r>
    </w:p>
    <w:p w14:paraId="65EB0BA5">
      <w:pPr>
        <w:spacing w:before="200" w:after="120"/>
        <w:outlineLvl w:val="0"/>
      </w:pPr>
      <w:bookmarkStart w:id="20" w:name="_Toc12638"/>
      <w:r>
        <w:rPr>
          <w:rFonts w:ascii="Times New Roman" w:hAnsi="Times New Roman" w:eastAsia="黑体"/>
          <w:b/>
          <w:sz w:val="30"/>
        </w:rPr>
        <w:t>七、结论</w:t>
      </w:r>
      <w:bookmarkEnd w:id="20"/>
    </w:p>
    <w:p w14:paraId="04968F32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通过对《舌尖上的中国》第一集 22 个饮食文化负载词的统计分析，本研究得出以下结论：</w:t>
      </w:r>
    </w:p>
    <w:p w14:paraId="0F29FD83">
      <w:pPr>
        <w:spacing w:line="360" w:lineRule="auto"/>
      </w:pPr>
      <w:r>
        <w:rPr>
          <w:rFonts w:ascii="Times New Roman" w:hAnsi="Times New Roman" w:eastAsia="宋体"/>
          <w:b w:val="0"/>
          <w:sz w:val="24"/>
        </w:rPr>
        <w:t>第一，在翻译方法上，直译使用最多（59.1%），其次是意译、音译、概括化和释义；说明译者偏好简洁、直接的处理方式。</w:t>
      </w:r>
    </w:p>
    <w:p w14:paraId="511CCBB4">
      <w:pPr>
        <w:spacing w:line="360" w:lineRule="auto"/>
      </w:pPr>
      <w:r>
        <w:rPr>
          <w:rFonts w:ascii="Times New Roman" w:hAnsi="Times New Roman" w:eastAsia="宋体"/>
          <w:b w:val="0"/>
          <w:sz w:val="24"/>
        </w:rPr>
        <w:t>第二，在翻译策略上，归化占主导（77.3%），异化为辅（22.7%）；这与纪录片字幕“要好懂”的特点相符。</w:t>
      </w:r>
    </w:p>
    <w:p w14:paraId="041E4338">
      <w:pPr>
        <w:spacing w:line="360" w:lineRule="auto"/>
      </w:pPr>
      <w:r>
        <w:rPr>
          <w:rFonts w:ascii="Times New Roman" w:hAnsi="Times New Roman" w:eastAsia="宋体"/>
          <w:b w:val="0"/>
          <w:sz w:val="24"/>
        </w:rPr>
        <w:t>第三，异化用得很有针对性，主要集中在文化空缺的特色名称（音译）和承载中式理念的概念（直译）上，起到了传播中国文化特色的作用。</w:t>
      </w:r>
    </w:p>
    <w:p w14:paraId="6195A320">
      <w:pPr>
        <w:spacing w:line="360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总的来看，饮食文化负载词的英译是在“让读者读懂”和“保留中国特色”之间不断权衡。比较理想的做法是以归化为基础保证可读性，在关键的文化点上适当采用异化来守住中国味道。本研究也存在不足：语料只取了一集、样本数量较少，编码也带有一定主观性。今后可以扩大到整季甚至多部作品，并把人工标注的语料用于机器翻译的改进实验，让研究结果更好地服务于智能语言产业。</w:t>
      </w:r>
    </w:p>
    <w:sectPr>
      <w:footerReference r:id="rId5" w:type="default"/>
      <w:pgSz w:w="12240" w:h="15840"/>
      <w:pgMar w:top="1440" w:right="1800" w:bottom="1440" w:left="1800" w:header="720" w:footer="720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A47C3">
    <w:pPr>
      <w:pStyle w:val="24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4B9DB7">
                          <w:pPr>
                            <w:pStyle w:val="2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Ayd1Ld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DJ3Ut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4B9DB7">
                    <w:pPr>
                      <w:pStyle w:val="2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9CA30E9"/>
    <w:rsid w:val="13C703F7"/>
    <w:rsid w:val="6538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4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4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8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6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toc 1"/>
    <w:basedOn w:val="1"/>
    <w:next w:val="1"/>
    <w:semiHidden/>
    <w:unhideWhenUsed/>
    <w:uiPriority w:val="39"/>
  </w:style>
  <w:style w:type="paragraph" w:styleId="27">
    <w:name w:val="Subtitle"/>
    <w:basedOn w:val="1"/>
    <w:next w:val="1"/>
    <w:link w:val="14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8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9">
    <w:name w:val="toc 2"/>
    <w:basedOn w:val="1"/>
    <w:next w:val="1"/>
    <w:semiHidden/>
    <w:unhideWhenUsed/>
    <w:uiPriority w:val="39"/>
    <w:pPr>
      <w:ind w:left="420" w:leftChars="200"/>
    </w:pPr>
  </w:style>
  <w:style w:type="paragraph" w:styleId="30">
    <w:name w:val="Body Text 2"/>
    <w:basedOn w:val="1"/>
    <w:link w:val="147"/>
    <w:unhideWhenUsed/>
    <w:qFormat/>
    <w:uiPriority w:val="99"/>
    <w:pPr>
      <w:spacing w:after="120" w:line="480" w:lineRule="auto"/>
    </w:pPr>
  </w:style>
  <w:style w:type="paragraph" w:styleId="31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2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3">
    <w:name w:val="Title"/>
    <w:basedOn w:val="1"/>
    <w:next w:val="1"/>
    <w:link w:val="143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5">
    <w:name w:val="Table Grid"/>
    <w:basedOn w:val="34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6">
    <w:name w:val="Light Shading"/>
    <w:basedOn w:val="34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7">
    <w:name w:val="Light Shading Accent 1"/>
    <w:basedOn w:val="34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8">
    <w:name w:val="Light Shading Accent 2"/>
    <w:basedOn w:val="34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9">
    <w:name w:val="Light Shading Accent 3"/>
    <w:basedOn w:val="34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0">
    <w:name w:val="Light Shading Accent 4"/>
    <w:basedOn w:val="34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1">
    <w:name w:val="Light Shading Accent 5"/>
    <w:basedOn w:val="34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2">
    <w:name w:val="Light Shading Accent 6"/>
    <w:basedOn w:val="34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3">
    <w:name w:val="Light List"/>
    <w:basedOn w:val="34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4">
    <w:name w:val="Light List Accent 1"/>
    <w:basedOn w:val="34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5">
    <w:name w:val="Light List Accent 2"/>
    <w:basedOn w:val="34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6">
    <w:name w:val="Light List Accent 3"/>
    <w:basedOn w:val="34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7">
    <w:name w:val="Light List Accent 4"/>
    <w:basedOn w:val="34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8">
    <w:name w:val="Light List Accent 5"/>
    <w:basedOn w:val="34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9">
    <w:name w:val="Light List Accent 6"/>
    <w:basedOn w:val="34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0">
    <w:name w:val="Light Grid"/>
    <w:basedOn w:val="34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1">
    <w:name w:val="Light Grid Accent 1"/>
    <w:basedOn w:val="34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2">
    <w:name w:val="Light Grid Accent 2"/>
    <w:basedOn w:val="34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3">
    <w:name w:val="Light Grid Accent 3"/>
    <w:basedOn w:val="34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4">
    <w:name w:val="Light Grid Accent 4"/>
    <w:basedOn w:val="34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5">
    <w:name w:val="Light Grid Accent 5"/>
    <w:basedOn w:val="34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6">
    <w:name w:val="Light Grid Accent 6"/>
    <w:basedOn w:val="34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7">
    <w:name w:val="Medium Shading 1"/>
    <w:basedOn w:val="34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1"/>
    <w:basedOn w:val="34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2"/>
    <w:basedOn w:val="34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3"/>
    <w:basedOn w:val="34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4"/>
    <w:basedOn w:val="34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5"/>
    <w:basedOn w:val="34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1 Accent 6"/>
    <w:basedOn w:val="34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4">
    <w:name w:val="Medium Shading 2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1"/>
    <w:basedOn w:val="34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2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3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4"/>
    <w:basedOn w:val="34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5"/>
    <w:basedOn w:val="34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6"/>
    <w:basedOn w:val="34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List 1"/>
    <w:basedOn w:val="34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2">
    <w:name w:val="Medium List 1 Accent 1"/>
    <w:basedOn w:val="34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3">
    <w:name w:val="Medium List 1 Accent 2"/>
    <w:basedOn w:val="34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4">
    <w:name w:val="Medium List 1 Accent 3"/>
    <w:basedOn w:val="34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5">
    <w:name w:val="Medium List 1 Accent 4"/>
    <w:basedOn w:val="34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6">
    <w:name w:val="Medium List 1 Accent 5"/>
    <w:basedOn w:val="34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7">
    <w:name w:val="Medium List 1 Accent 6"/>
    <w:basedOn w:val="34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8">
    <w:name w:val="Medium List 2"/>
    <w:basedOn w:val="34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1"/>
    <w:basedOn w:val="34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2"/>
    <w:basedOn w:val="34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3"/>
    <w:basedOn w:val="34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4"/>
    <w:basedOn w:val="34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5"/>
    <w:basedOn w:val="34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List 2 Accent 6"/>
    <w:basedOn w:val="34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5">
    <w:name w:val="Medium Grid 1"/>
    <w:basedOn w:val="34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6">
    <w:name w:val="Medium Grid 1 Accent 1"/>
    <w:basedOn w:val="34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7">
    <w:name w:val="Medium Grid 1 Accent 2"/>
    <w:basedOn w:val="34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8">
    <w:name w:val="Medium Grid 1 Accent 3"/>
    <w:basedOn w:val="34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9">
    <w:name w:val="Medium Grid 1 Accent 4"/>
    <w:basedOn w:val="34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90">
    <w:name w:val="Medium Grid 1 Accent 5"/>
    <w:basedOn w:val="34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1">
    <w:name w:val="Medium Grid 1 Accent 6"/>
    <w:basedOn w:val="34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2">
    <w:name w:val="Medium Grid 2"/>
    <w:basedOn w:val="34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1"/>
    <w:basedOn w:val="34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2"/>
    <w:basedOn w:val="34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3"/>
    <w:basedOn w:val="34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4"/>
    <w:basedOn w:val="34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5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2 Accent 6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9">
    <w:name w:val="Medium Grid 3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0">
    <w:name w:val="Medium Grid 3 Accent 1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1">
    <w:name w:val="Medium Grid 3 Accent 2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2">
    <w:name w:val="Medium Grid 3 Accent 3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3">
    <w:name w:val="Medium Grid 3 Accent 4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4">
    <w:name w:val="Medium Grid 3 Accent 5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5">
    <w:name w:val="Medium Grid 3 Accent 6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6">
    <w:name w:val="Dark List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7">
    <w:name w:val="Dark List Accent 1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8">
    <w:name w:val="Dark List Accent 2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9">
    <w:name w:val="Dark List Accent 3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0">
    <w:name w:val="Dark List Accent 4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1">
    <w:name w:val="Dark List Accent 5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2">
    <w:name w:val="Dark List Accent 6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3">
    <w:name w:val="Colorful Shading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1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2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3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7">
    <w:name w:val="Colorful Shading Accent 4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5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Shading Accent 6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0">
    <w:name w:val="Colorful List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1">
    <w:name w:val="Colorful List Accent 1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2">
    <w:name w:val="Colorful List Accent 2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3">
    <w:name w:val="Colorful List Accent 3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4">
    <w:name w:val="Colorful List Accent 4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5">
    <w:name w:val="Colorful List Accent 5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6">
    <w:name w:val="Colorful List Accent 6"/>
    <w:basedOn w:val="34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7">
    <w:name w:val="Colorful Grid"/>
    <w:basedOn w:val="34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8">
    <w:name w:val="Colorful Grid Accent 1"/>
    <w:basedOn w:val="34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9">
    <w:name w:val="Colorful Grid Accent 2"/>
    <w:basedOn w:val="34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0">
    <w:name w:val="Colorful Grid Accent 3"/>
    <w:basedOn w:val="34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1">
    <w:name w:val="Colorful Grid Accent 4"/>
    <w:basedOn w:val="34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2">
    <w:name w:val="Colorful Grid Accent 5"/>
    <w:basedOn w:val="34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3">
    <w:name w:val="Colorful Grid Accent 6"/>
    <w:basedOn w:val="34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5">
    <w:name w:val="Strong"/>
    <w:basedOn w:val="134"/>
    <w:qFormat/>
    <w:uiPriority w:val="22"/>
    <w:rPr>
      <w:b/>
      <w:bCs/>
    </w:rPr>
  </w:style>
  <w:style w:type="character" w:styleId="136">
    <w:name w:val="Emphasis"/>
    <w:basedOn w:val="134"/>
    <w:qFormat/>
    <w:uiPriority w:val="20"/>
    <w:rPr>
      <w:i/>
      <w:iCs/>
    </w:rPr>
  </w:style>
  <w:style w:type="character" w:customStyle="1" w:styleId="137">
    <w:name w:val="Header Char"/>
    <w:basedOn w:val="134"/>
    <w:link w:val="25"/>
    <w:uiPriority w:val="99"/>
  </w:style>
  <w:style w:type="character" w:customStyle="1" w:styleId="138">
    <w:name w:val="Footer Char"/>
    <w:basedOn w:val="134"/>
    <w:link w:val="24"/>
    <w:uiPriority w:val="99"/>
  </w:style>
  <w:style w:type="paragraph" w:styleId="13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40">
    <w:name w:val="Heading 1 Char"/>
    <w:basedOn w:val="134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1">
    <w:name w:val="Heading 2 Char"/>
    <w:basedOn w:val="134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2">
    <w:name w:val="Heading 3 Char"/>
    <w:basedOn w:val="134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3">
    <w:name w:val="Title Char"/>
    <w:basedOn w:val="134"/>
    <w:link w:val="33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4">
    <w:name w:val="Subtitle Char"/>
    <w:basedOn w:val="134"/>
    <w:link w:val="2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5">
    <w:name w:val="List Paragraph"/>
    <w:basedOn w:val="1"/>
    <w:qFormat/>
    <w:uiPriority w:val="34"/>
    <w:pPr>
      <w:ind w:left="720"/>
      <w:contextualSpacing/>
    </w:pPr>
  </w:style>
  <w:style w:type="character" w:customStyle="1" w:styleId="146">
    <w:name w:val="Body Text Char"/>
    <w:basedOn w:val="134"/>
    <w:link w:val="19"/>
    <w:qFormat/>
    <w:uiPriority w:val="99"/>
  </w:style>
  <w:style w:type="character" w:customStyle="1" w:styleId="147">
    <w:name w:val="Body Text 2 Char"/>
    <w:basedOn w:val="134"/>
    <w:link w:val="30"/>
    <w:qFormat/>
    <w:uiPriority w:val="99"/>
  </w:style>
  <w:style w:type="character" w:customStyle="1" w:styleId="148">
    <w:name w:val="Body Text 3 Char"/>
    <w:basedOn w:val="134"/>
    <w:link w:val="17"/>
    <w:qFormat/>
    <w:uiPriority w:val="99"/>
    <w:rPr>
      <w:sz w:val="16"/>
      <w:szCs w:val="16"/>
    </w:rPr>
  </w:style>
  <w:style w:type="character" w:customStyle="1" w:styleId="149">
    <w:name w:val="Macro Text Char"/>
    <w:basedOn w:val="134"/>
    <w:link w:val="2"/>
    <w:uiPriority w:val="99"/>
    <w:rPr>
      <w:rFonts w:ascii="Courier" w:hAnsi="Courier"/>
      <w:sz w:val="20"/>
      <w:szCs w:val="20"/>
    </w:rPr>
  </w:style>
  <w:style w:type="paragraph" w:styleId="150">
    <w:name w:val="Quote"/>
    <w:basedOn w:val="1"/>
    <w:next w:val="1"/>
    <w:link w:val="1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Quote Char"/>
    <w:basedOn w:val="134"/>
    <w:link w:val="150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2">
    <w:name w:val="Heading 4 Char"/>
    <w:basedOn w:val="134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Heading 5 Char"/>
    <w:basedOn w:val="134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4">
    <w:name w:val="Heading 6 Char"/>
    <w:basedOn w:val="134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5">
    <w:name w:val="Heading 7 Char"/>
    <w:basedOn w:val="134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Heading 8 Char"/>
    <w:basedOn w:val="134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7">
    <w:name w:val="Heading 9 Char"/>
    <w:basedOn w:val="134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8">
    <w:name w:val="Intense Quote"/>
    <w:basedOn w:val="1"/>
    <w:next w:val="1"/>
    <w:link w:val="15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Intense Quote Char"/>
    <w:basedOn w:val="134"/>
    <w:link w:val="158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Emphasis"/>
    <w:basedOn w:val="134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1">
    <w:name w:val="Intense Emphasis"/>
    <w:basedOn w:val="134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2">
    <w:name w:val="Subtle Reference"/>
    <w:basedOn w:val="134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3">
    <w:name w:val="Intense Reference"/>
    <w:basedOn w:val="134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4">
    <w:name w:val="Book Title"/>
    <w:basedOn w:val="134"/>
    <w:qFormat/>
    <w:uiPriority w:val="33"/>
    <w:rPr>
      <w:b/>
      <w:bCs/>
      <w:smallCaps/>
      <w:spacing w:val="5"/>
    </w:rPr>
  </w:style>
  <w:style w:type="paragraph" w:customStyle="1" w:styleId="165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2640</Words>
  <Characters>3838</Characters>
  <Lines>0</Lines>
  <Paragraphs>0</Paragraphs>
  <TotalTime>3</TotalTime>
  <ScaleCrop>false</ScaleCrop>
  <LinksUpToDate>false</LinksUpToDate>
  <CharactersWithSpaces>4089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WPS_1665158381</dc:creator>
  <cp:lastModifiedBy>WPS_1665158381</cp:lastModifiedBy>
  <dcterms:modified xsi:type="dcterms:W3CDTF">2026-06-16T07:36:34Z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2052-12.1.0.26895</vt:lpwstr>
  </property>
  <property fmtid="{D5CDD505-2E9C-101B-9397-08002B2CF9AE}" pid="4" name="ICV">
    <vt:lpwstr>795DFEA88FD6429192C73E5523602A85_12</vt:lpwstr>
  </property>
</Properties>
</file>