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98ED26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jc w:val="center"/>
        <w:textAlignment w:val="auto"/>
        <w:outlineLvl w:val="9"/>
      </w:pPr>
      <w:r>
        <w:drawing>
          <wp:inline distT="0" distB="0" distL="0" distR="0">
            <wp:extent cx="3657600" cy="772795"/>
            <wp:effectExtent l="0" t="0" r="0" b="0"/>
            <wp:docPr id="3" name="图片 3" descr="校名(1)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校名(1)-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5385" cy="772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92C61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jc w:val="center"/>
        <w:textAlignment w:val="auto"/>
      </w:pPr>
    </w:p>
    <w:p w14:paraId="0539239D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jc w:val="center"/>
        <w:textAlignment w:val="auto"/>
        <w:rPr>
          <w:rFonts w:hint="eastAsia" w:ascii="黑体" w:hAnsi="黑体" w:eastAsia="黑体"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sz w:val="28"/>
          <w:szCs w:val="28"/>
        </w:rPr>
        <w:t>20</w:t>
      </w:r>
      <w:r>
        <w:rPr>
          <w:rFonts w:ascii="黑体" w:hAnsi="黑体" w:eastAsia="黑体"/>
          <w:sz w:val="28"/>
          <w:szCs w:val="28"/>
        </w:rPr>
        <w:t>2</w:t>
      </w:r>
      <w:r>
        <w:rPr>
          <w:rFonts w:hint="eastAsia" w:ascii="黑体" w:hAnsi="黑体" w:eastAsia="黑体"/>
          <w:sz w:val="28"/>
          <w:szCs w:val="28"/>
          <w:lang w:val="en-US" w:eastAsia="zh-CN"/>
        </w:rPr>
        <w:t>5</w:t>
      </w:r>
      <w:r>
        <w:rPr>
          <w:rFonts w:hint="eastAsia" w:ascii="黑体" w:hAnsi="黑体" w:eastAsia="黑体"/>
          <w:sz w:val="28"/>
          <w:szCs w:val="28"/>
        </w:rPr>
        <w:t>— 20</w:t>
      </w:r>
      <w:r>
        <w:rPr>
          <w:rFonts w:ascii="黑体" w:hAnsi="黑体" w:eastAsia="黑体"/>
          <w:sz w:val="28"/>
          <w:szCs w:val="28"/>
        </w:rPr>
        <w:t>2</w:t>
      </w:r>
      <w:r>
        <w:rPr>
          <w:rFonts w:hint="eastAsia" w:ascii="黑体" w:hAnsi="黑体" w:eastAsia="黑体"/>
          <w:sz w:val="28"/>
          <w:szCs w:val="28"/>
          <w:lang w:val="en-US" w:eastAsia="zh-CN"/>
        </w:rPr>
        <w:t>6</w:t>
      </w:r>
      <w:r>
        <w:rPr>
          <w:rFonts w:hint="eastAsia" w:ascii="黑体" w:hAnsi="黑体" w:eastAsia="黑体"/>
          <w:sz w:val="28"/>
          <w:szCs w:val="28"/>
        </w:rPr>
        <w:t>学年（2）学期</w:t>
      </w:r>
    </w:p>
    <w:p w14:paraId="14C9E968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textAlignment w:val="auto"/>
      </w:pPr>
    </w:p>
    <w:p w14:paraId="0258DADD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jc w:val="both"/>
        <w:textAlignment w:val="auto"/>
        <w:rPr>
          <w:rFonts w:hint="default" w:ascii="黑体" w:hAnsi="黑体" w:eastAsia="黑体"/>
          <w:sz w:val="44"/>
          <w:szCs w:val="44"/>
          <w:u w:val="single"/>
          <w:lang w:val="en-US" w:eastAsia="zh-CN"/>
        </w:rPr>
      </w:pPr>
      <w:r>
        <w:rPr>
          <w:rFonts w:hint="eastAsia" w:ascii="黑体" w:hAnsi="黑体" w:eastAsia="黑体"/>
          <w:sz w:val="44"/>
          <w:szCs w:val="44"/>
        </w:rPr>
        <w:t>大作业名称：</w:t>
      </w:r>
      <w:r>
        <w:rPr>
          <w:rFonts w:hint="eastAsia" w:ascii="黑体" w:hAnsi="黑体" w:eastAsia="黑体"/>
          <w:sz w:val="44"/>
          <w:szCs w:val="44"/>
          <w:u w:val="single"/>
          <w:lang w:val="en-US" w:eastAsia="zh-CN"/>
        </w:rPr>
        <w:t xml:space="preserve">2025-2026-2重修班   </w:t>
      </w:r>
    </w:p>
    <w:p w14:paraId="183A340E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240" w:lineRule="auto"/>
        <w:ind w:firstLine="1320" w:firstLineChars="300"/>
        <w:jc w:val="both"/>
        <w:textAlignment w:val="auto"/>
        <w:rPr>
          <w:rFonts w:hint="default" w:ascii="黑体" w:hAnsi="黑体" w:eastAsia="黑体"/>
          <w:sz w:val="44"/>
          <w:szCs w:val="44"/>
          <w:u w:val="single"/>
          <w:lang w:val="en-US" w:eastAsia="zh-CN"/>
        </w:rPr>
      </w:pPr>
      <w:r>
        <w:rPr>
          <w:rFonts w:hint="eastAsia" w:ascii="黑体" w:hAnsi="黑体" w:eastAsia="黑体"/>
          <w:sz w:val="44"/>
          <w:szCs w:val="44"/>
          <w:u w:val="single"/>
          <w:lang w:val="en-US" w:eastAsia="zh-CN"/>
        </w:rPr>
        <w:t xml:space="preserve"> 个人及班级平时成绩数据分析    </w:t>
      </w:r>
    </w:p>
    <w:p w14:paraId="574C0D81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1400" w:firstLineChars="500"/>
        <w:textAlignment w:val="auto"/>
        <w:rPr>
          <w:sz w:val="28"/>
          <w:szCs w:val="28"/>
        </w:rPr>
      </w:pPr>
    </w:p>
    <w:p w14:paraId="36B9BD25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1400" w:firstLineChars="500"/>
        <w:textAlignment w:val="auto"/>
        <w:rPr>
          <w:sz w:val="28"/>
          <w:szCs w:val="28"/>
        </w:rPr>
      </w:pPr>
    </w:p>
    <w:p w14:paraId="47827039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2240" w:firstLineChars="800"/>
        <w:textAlignment w:val="auto"/>
        <w:rPr>
          <w:rFonts w:hint="default" w:ascii="黑体" w:hAnsi="黑体" w:eastAsia="黑体"/>
          <w:sz w:val="28"/>
          <w:szCs w:val="28"/>
          <w:lang w:val="en-US"/>
        </w:rPr>
      </w:pPr>
      <w:r>
        <w:rPr>
          <w:rFonts w:hint="eastAsia" w:ascii="黑体" w:hAnsi="黑体" w:eastAsia="黑体"/>
          <w:sz w:val="28"/>
          <w:szCs w:val="28"/>
        </w:rPr>
        <w:t>姓    名：</w:t>
      </w:r>
      <w:r>
        <w:rPr>
          <w:rFonts w:hint="eastAsia" w:ascii="黑体" w:hAnsi="黑体" w:eastAsia="黑体"/>
          <w:sz w:val="28"/>
          <w:szCs w:val="28"/>
          <w:u w:val="single"/>
        </w:rPr>
        <w:t xml:space="preserve">  杨笑然</w:t>
      </w:r>
      <w:r>
        <w:rPr>
          <w:rFonts w:hint="eastAsia" w:ascii="黑体" w:hAnsi="黑体" w:eastAsia="黑体"/>
          <w:sz w:val="28"/>
          <w:szCs w:val="28"/>
          <w:u w:val="single"/>
          <w:lang w:val="en-US" w:eastAsia="zh-CN"/>
        </w:rPr>
        <w:t xml:space="preserve">       </w:t>
      </w:r>
    </w:p>
    <w:p w14:paraId="3E643A61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2240" w:firstLineChars="800"/>
        <w:textAlignment w:val="auto"/>
        <w:rPr>
          <w:rFonts w:hint="default"/>
          <w:sz w:val="28"/>
          <w:szCs w:val="28"/>
          <w:lang w:val="en-US"/>
        </w:rPr>
      </w:pPr>
      <w:r>
        <w:rPr>
          <w:rFonts w:hint="eastAsia" w:ascii="黑体" w:hAnsi="黑体" w:eastAsia="黑体"/>
          <w:sz w:val="28"/>
          <w:szCs w:val="28"/>
        </w:rPr>
        <w:t xml:space="preserve">年    级: </w:t>
      </w:r>
      <w:r>
        <w:rPr>
          <w:rFonts w:hint="eastAsia" w:ascii="黑体" w:hAnsi="黑体" w:eastAsia="黑体"/>
          <w:sz w:val="28"/>
          <w:szCs w:val="28"/>
          <w:u w:val="single"/>
        </w:rPr>
        <w:t xml:space="preserve">  </w:t>
      </w:r>
      <w:r>
        <w:rPr>
          <w:rFonts w:hint="eastAsia" w:ascii="黑体" w:hAnsi="黑体" w:eastAsia="黑体"/>
          <w:sz w:val="28"/>
          <w:szCs w:val="28"/>
          <w:u w:val="single"/>
          <w:lang w:val="en-US" w:eastAsia="zh-CN"/>
        </w:rPr>
        <w:t xml:space="preserve">202312079    </w:t>
      </w:r>
    </w:p>
    <w:p w14:paraId="073D0031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2240" w:firstLineChars="800"/>
        <w:textAlignment w:val="auto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专业班级：</w:t>
      </w:r>
      <w:r>
        <w:rPr>
          <w:rFonts w:hint="eastAsia" w:ascii="黑体" w:hAnsi="黑体" w:eastAsia="黑体"/>
          <w:sz w:val="28"/>
          <w:szCs w:val="28"/>
          <w:u w:val="single"/>
        </w:rPr>
        <w:t xml:space="preserve">      </w:t>
      </w:r>
      <w:r>
        <w:rPr>
          <w:rFonts w:hint="eastAsia" w:ascii="黑体" w:hAnsi="黑体" w:eastAsia="黑体"/>
          <w:sz w:val="28"/>
          <w:szCs w:val="28"/>
          <w:u w:val="single"/>
          <w:lang w:val="en-US" w:eastAsia="zh-CN"/>
        </w:rPr>
        <w:t xml:space="preserve">     </w:t>
      </w:r>
      <w:r>
        <w:rPr>
          <w:rFonts w:hint="eastAsia" w:ascii="黑体" w:hAnsi="黑体" w:eastAsia="黑体"/>
          <w:sz w:val="28"/>
          <w:szCs w:val="28"/>
          <w:u w:val="single"/>
        </w:rPr>
        <w:t xml:space="preserve">   </w:t>
      </w:r>
      <w:r>
        <w:rPr>
          <w:rFonts w:hint="eastAsia" w:ascii="黑体" w:hAnsi="黑体" w:eastAsia="黑体"/>
          <w:sz w:val="28"/>
          <w:szCs w:val="28"/>
          <w:u w:val="single"/>
          <w:lang w:val="en-US" w:eastAsia="zh-CN"/>
        </w:rPr>
        <w:t xml:space="preserve"> </w:t>
      </w:r>
    </w:p>
    <w:p w14:paraId="1CA9CEE3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2240" w:firstLineChars="800"/>
        <w:textAlignment w:val="auto"/>
        <w:rPr>
          <w:rFonts w:hint="default" w:ascii="黑体" w:hAnsi="黑体" w:eastAsia="黑体"/>
          <w:sz w:val="28"/>
          <w:szCs w:val="28"/>
          <w:lang w:val="en-US"/>
        </w:rPr>
      </w:pPr>
      <w:r>
        <w:rPr>
          <w:rFonts w:hint="eastAsia" w:ascii="黑体" w:hAnsi="黑体" w:eastAsia="黑体"/>
          <w:sz w:val="28"/>
          <w:szCs w:val="28"/>
        </w:rPr>
        <w:t>学    号：</w:t>
      </w:r>
      <w:r>
        <w:rPr>
          <w:rFonts w:hint="eastAsia" w:ascii="黑体" w:hAnsi="黑体" w:eastAsia="黑体"/>
          <w:sz w:val="28"/>
          <w:szCs w:val="28"/>
          <w:u w:val="single"/>
        </w:rPr>
        <w:t xml:space="preserve">       </w:t>
      </w:r>
      <w:r>
        <w:rPr>
          <w:rFonts w:hint="eastAsia" w:ascii="黑体" w:hAnsi="黑体" w:eastAsia="黑体"/>
          <w:sz w:val="28"/>
          <w:szCs w:val="28"/>
          <w:u w:val="single"/>
          <w:lang w:val="en-US" w:eastAsia="zh-CN"/>
        </w:rPr>
        <w:t xml:space="preserve">     </w:t>
      </w:r>
      <w:r>
        <w:rPr>
          <w:rFonts w:hint="eastAsia" w:ascii="黑体" w:hAnsi="黑体" w:eastAsia="黑体"/>
          <w:sz w:val="28"/>
          <w:szCs w:val="28"/>
          <w:u w:val="single"/>
        </w:rPr>
        <w:t xml:space="preserve">  </w:t>
      </w:r>
      <w:r>
        <w:rPr>
          <w:rFonts w:hint="eastAsia" w:ascii="黑体" w:hAnsi="黑体" w:eastAsia="黑体"/>
          <w:sz w:val="28"/>
          <w:szCs w:val="28"/>
          <w:u w:val="single"/>
          <w:lang w:val="en-US" w:eastAsia="zh-CN"/>
        </w:rPr>
        <w:t xml:space="preserve"> </w:t>
      </w:r>
    </w:p>
    <w:p w14:paraId="1B274EEC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2240" w:firstLineChars="800"/>
        <w:textAlignment w:val="auto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28"/>
          <w:szCs w:val="28"/>
        </w:rPr>
        <w:t>指导教师：</w:t>
      </w:r>
      <w:r>
        <w:rPr>
          <w:rFonts w:hint="eastAsia" w:ascii="黑体" w:hAnsi="黑体" w:eastAsia="黑体"/>
          <w:sz w:val="28"/>
          <w:szCs w:val="28"/>
          <w:u w:val="single"/>
        </w:rPr>
        <w:t xml:space="preserve">  </w:t>
      </w:r>
      <w:r>
        <w:rPr>
          <w:rFonts w:hint="eastAsia" w:ascii="黑体" w:hAnsi="黑体" w:eastAsia="黑体"/>
          <w:sz w:val="28"/>
          <w:szCs w:val="28"/>
          <w:u w:val="single"/>
          <w:lang w:val="en-US" w:eastAsia="zh-CN"/>
        </w:rPr>
        <w:t xml:space="preserve"> </w:t>
      </w:r>
      <w:r>
        <w:rPr>
          <w:rFonts w:hint="eastAsia" w:ascii="黑体" w:hAnsi="黑体" w:eastAsia="黑体"/>
          <w:sz w:val="28"/>
          <w:szCs w:val="28"/>
          <w:u w:val="single"/>
        </w:rPr>
        <w:t xml:space="preserve"> </w:t>
      </w:r>
      <w:r>
        <w:rPr>
          <w:rFonts w:hint="eastAsia" w:ascii="黑体" w:hAnsi="黑体" w:eastAsia="黑体"/>
          <w:sz w:val="28"/>
          <w:szCs w:val="28"/>
          <w:u w:val="single"/>
          <w:lang w:val="en-US" w:eastAsia="zh-CN"/>
        </w:rPr>
        <w:t xml:space="preserve">齐力莹  </w:t>
      </w:r>
      <w:r>
        <w:rPr>
          <w:rFonts w:hint="eastAsia" w:ascii="黑体" w:hAnsi="黑体" w:eastAsia="黑体"/>
          <w:sz w:val="28"/>
          <w:szCs w:val="28"/>
          <w:u w:val="single"/>
        </w:rPr>
        <w:t xml:space="preserve">   </w:t>
      </w:r>
    </w:p>
    <w:p w14:paraId="7FE012A3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3640" w:firstLineChars="1300"/>
        <w:textAlignment w:val="auto"/>
        <w:rPr>
          <w:rFonts w:ascii="黑体" w:hAnsi="黑体" w:eastAsia="黑体"/>
          <w:sz w:val="28"/>
          <w:szCs w:val="28"/>
          <w:u w:val="single"/>
        </w:rPr>
      </w:pPr>
    </w:p>
    <w:tbl>
      <w:tblPr>
        <w:tblStyle w:val="12"/>
        <w:tblW w:w="87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19"/>
        <w:gridCol w:w="1559"/>
        <w:gridCol w:w="1276"/>
        <w:gridCol w:w="1701"/>
      </w:tblGrid>
      <w:tr w14:paraId="083765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8" w:hRule="atLeast"/>
        </w:trPr>
        <w:tc>
          <w:tcPr>
            <w:tcW w:w="4219" w:type="dxa"/>
            <w:vAlign w:val="center"/>
          </w:tcPr>
          <w:p w14:paraId="10533FA7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b/>
              </w:rPr>
            </w:pPr>
            <w:r>
              <w:rPr>
                <w:rFonts w:hint="eastAsia"/>
                <w:b/>
              </w:rPr>
              <w:t>评分标准</w:t>
            </w:r>
          </w:p>
        </w:tc>
        <w:tc>
          <w:tcPr>
            <w:tcW w:w="1559" w:type="dxa"/>
            <w:vAlign w:val="center"/>
          </w:tcPr>
          <w:p w14:paraId="566220F9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b/>
              </w:rPr>
            </w:pPr>
            <w:r>
              <w:rPr>
                <w:rFonts w:hint="eastAsia"/>
                <w:b/>
              </w:rPr>
              <w:t>各项标准满分</w:t>
            </w:r>
          </w:p>
        </w:tc>
        <w:tc>
          <w:tcPr>
            <w:tcW w:w="1276" w:type="dxa"/>
            <w:vAlign w:val="center"/>
          </w:tcPr>
          <w:p w14:paraId="07377F2F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b/>
              </w:rPr>
            </w:pPr>
            <w:r>
              <w:rPr>
                <w:rFonts w:hint="eastAsia"/>
                <w:b/>
              </w:rPr>
              <w:t>学生得分</w:t>
            </w:r>
          </w:p>
        </w:tc>
        <w:tc>
          <w:tcPr>
            <w:tcW w:w="1701" w:type="dxa"/>
            <w:vAlign w:val="center"/>
          </w:tcPr>
          <w:p w14:paraId="4C84F38E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b/>
              </w:rPr>
            </w:pPr>
            <w:r>
              <w:rPr>
                <w:rFonts w:hint="eastAsia"/>
                <w:b/>
              </w:rPr>
              <w:t>总分</w:t>
            </w:r>
          </w:p>
        </w:tc>
      </w:tr>
      <w:tr w14:paraId="54990B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4219" w:type="dxa"/>
            <w:vAlign w:val="center"/>
          </w:tcPr>
          <w:p w14:paraId="716E137C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数据预处理</w:t>
            </w:r>
            <w:r>
              <w:rPr>
                <w:rFonts w:hint="default"/>
                <w:lang w:val="en-US" w:eastAsia="zh-CN"/>
              </w:rPr>
              <w:t>过程合理</w:t>
            </w:r>
            <w:r>
              <w:rPr>
                <w:rFonts w:hint="eastAsia"/>
                <w:lang w:val="en-US" w:eastAsia="zh-CN"/>
              </w:rPr>
              <w:t>。</w:t>
            </w:r>
            <w:r>
              <w:rPr>
                <w:rFonts w:hint="default"/>
                <w:lang w:val="en-US" w:eastAsia="zh-CN"/>
              </w:rPr>
              <w:t>数据完整、准确</w:t>
            </w:r>
            <w:r>
              <w:rPr>
                <w:rFonts w:hint="eastAsia"/>
                <w:lang w:val="en-US" w:eastAsia="zh-CN"/>
              </w:rPr>
              <w:t>。</w:t>
            </w:r>
          </w:p>
        </w:tc>
        <w:tc>
          <w:tcPr>
            <w:tcW w:w="1559" w:type="dxa"/>
            <w:vAlign w:val="center"/>
          </w:tcPr>
          <w:p w14:paraId="44F173CB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</w:t>
            </w:r>
          </w:p>
        </w:tc>
        <w:tc>
          <w:tcPr>
            <w:tcW w:w="1276" w:type="dxa"/>
            <w:vAlign w:val="center"/>
          </w:tcPr>
          <w:p w14:paraId="75F49805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  <w:tc>
          <w:tcPr>
            <w:tcW w:w="1701" w:type="dxa"/>
            <w:vMerge w:val="restart"/>
            <w:vAlign w:val="center"/>
          </w:tcPr>
          <w:p w14:paraId="09CA209D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</w:tr>
      <w:tr w14:paraId="3395D4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5" w:hRule="atLeast"/>
        </w:trPr>
        <w:tc>
          <w:tcPr>
            <w:tcW w:w="4219" w:type="dxa"/>
            <w:vAlign w:val="center"/>
          </w:tcPr>
          <w:p w14:paraId="0FD445C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数据</w:t>
            </w:r>
            <w:r>
              <w:rPr>
                <w:rFonts w:hint="default"/>
                <w:lang w:val="en-US" w:eastAsia="zh-CN"/>
              </w:rPr>
              <w:t>分析方法合理</w:t>
            </w:r>
            <w:r>
              <w:rPr>
                <w:rFonts w:hint="eastAsia"/>
                <w:lang w:val="en-US" w:eastAsia="zh-CN"/>
              </w:rPr>
              <w:t>，</w:t>
            </w:r>
            <w:r>
              <w:rPr>
                <w:rFonts w:hint="default"/>
                <w:lang w:val="en-US" w:eastAsia="zh-CN"/>
              </w:rPr>
              <w:t>结果具有参考价值</w:t>
            </w:r>
            <w:r>
              <w:rPr>
                <w:rFonts w:hint="eastAsia"/>
                <w:lang w:val="en-US" w:eastAsia="zh-CN"/>
              </w:rPr>
              <w:t>。</w:t>
            </w:r>
          </w:p>
        </w:tc>
        <w:tc>
          <w:tcPr>
            <w:tcW w:w="1559" w:type="dxa"/>
            <w:vAlign w:val="center"/>
          </w:tcPr>
          <w:p w14:paraId="77D23DEB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30</w:t>
            </w:r>
          </w:p>
        </w:tc>
        <w:tc>
          <w:tcPr>
            <w:tcW w:w="1276" w:type="dxa"/>
            <w:vAlign w:val="center"/>
          </w:tcPr>
          <w:p w14:paraId="4D512022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  <w:tc>
          <w:tcPr>
            <w:tcW w:w="1701" w:type="dxa"/>
            <w:vMerge w:val="continue"/>
            <w:vAlign w:val="center"/>
          </w:tcPr>
          <w:p w14:paraId="6FF37CC5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</w:tr>
      <w:tr w14:paraId="4A7A4B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3" w:hRule="atLeast"/>
        </w:trPr>
        <w:tc>
          <w:tcPr>
            <w:tcW w:w="4219" w:type="dxa"/>
            <w:vAlign w:val="center"/>
          </w:tcPr>
          <w:p w14:paraId="570C1B46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数据可视化</w:t>
            </w:r>
            <w:r>
              <w:rPr>
                <w:rFonts w:hint="default"/>
                <w:lang w:val="en-US" w:eastAsia="zh-CN"/>
              </w:rPr>
              <w:t>图表清晰</w:t>
            </w:r>
            <w:r>
              <w:rPr>
                <w:rFonts w:hint="eastAsia"/>
                <w:lang w:val="en-US" w:eastAsia="zh-CN"/>
              </w:rPr>
              <w:t>，</w:t>
            </w:r>
            <w:r>
              <w:rPr>
                <w:rFonts w:hint="default"/>
                <w:lang w:val="en-US" w:eastAsia="zh-CN"/>
              </w:rPr>
              <w:t>信息表达</w:t>
            </w:r>
            <w:r>
              <w:rPr>
                <w:rFonts w:hint="eastAsia"/>
                <w:lang w:val="en-US" w:eastAsia="zh-CN"/>
              </w:rPr>
              <w:t>准确。</w:t>
            </w:r>
          </w:p>
        </w:tc>
        <w:tc>
          <w:tcPr>
            <w:tcW w:w="1559" w:type="dxa"/>
            <w:vAlign w:val="center"/>
          </w:tcPr>
          <w:p w14:paraId="3ED96610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</w:t>
            </w:r>
          </w:p>
        </w:tc>
        <w:tc>
          <w:tcPr>
            <w:tcW w:w="1276" w:type="dxa"/>
            <w:vAlign w:val="center"/>
          </w:tcPr>
          <w:p w14:paraId="7FBF419B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  <w:tc>
          <w:tcPr>
            <w:tcW w:w="1701" w:type="dxa"/>
            <w:vMerge w:val="continue"/>
            <w:vAlign w:val="center"/>
          </w:tcPr>
          <w:p w14:paraId="30F63C1D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</w:tr>
      <w:tr w14:paraId="3C7FE4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2" w:hRule="atLeast"/>
        </w:trPr>
        <w:tc>
          <w:tcPr>
            <w:tcW w:w="4219" w:type="dxa"/>
            <w:vAlign w:val="center"/>
          </w:tcPr>
          <w:p w14:paraId="6F090D7F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程序</w:t>
            </w:r>
            <w:r>
              <w:rPr>
                <w:rFonts w:hint="default"/>
                <w:lang w:val="en-US" w:eastAsia="zh-CN"/>
              </w:rPr>
              <w:t>功能完善</w:t>
            </w:r>
            <w:r>
              <w:rPr>
                <w:rFonts w:hint="eastAsia"/>
                <w:lang w:val="en-US" w:eastAsia="zh-CN"/>
              </w:rPr>
              <w:t>，</w:t>
            </w:r>
            <w:r>
              <w:rPr>
                <w:rFonts w:hint="default"/>
                <w:lang w:val="en-US" w:eastAsia="zh-CN"/>
              </w:rPr>
              <w:t>代码可读性好</w:t>
            </w:r>
            <w:r>
              <w:rPr>
                <w:rFonts w:hint="eastAsia"/>
                <w:lang w:val="en-US" w:eastAsia="zh-CN"/>
              </w:rPr>
              <w:t>。</w:t>
            </w:r>
          </w:p>
        </w:tc>
        <w:tc>
          <w:tcPr>
            <w:tcW w:w="1559" w:type="dxa"/>
            <w:vAlign w:val="center"/>
          </w:tcPr>
          <w:p w14:paraId="1D61F432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</w:t>
            </w:r>
          </w:p>
        </w:tc>
        <w:tc>
          <w:tcPr>
            <w:tcW w:w="1276" w:type="dxa"/>
            <w:vAlign w:val="center"/>
          </w:tcPr>
          <w:p w14:paraId="3284FFD5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default"/>
                <w:lang w:val="en-US"/>
              </w:rPr>
            </w:pPr>
          </w:p>
        </w:tc>
        <w:tc>
          <w:tcPr>
            <w:tcW w:w="1701" w:type="dxa"/>
            <w:vMerge w:val="continue"/>
            <w:vAlign w:val="center"/>
          </w:tcPr>
          <w:p w14:paraId="2C62C26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</w:tr>
      <w:tr w14:paraId="53D176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8" w:hRule="atLeast"/>
        </w:trPr>
        <w:tc>
          <w:tcPr>
            <w:tcW w:w="4219" w:type="dxa"/>
            <w:vAlign w:val="center"/>
          </w:tcPr>
          <w:p w14:paraId="68ED173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240" w:lineRule="auto"/>
              <w:jc w:val="center"/>
              <w:textAlignment w:val="auto"/>
              <w:rPr>
                <w:rFonts w:hint="eastAsia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报告</w:t>
            </w:r>
            <w:r>
              <w:rPr>
                <w:rFonts w:hint="default"/>
                <w:lang w:val="en-US" w:eastAsia="zh-CN"/>
              </w:rPr>
              <w:t>结构清晰</w:t>
            </w:r>
            <w:r>
              <w:rPr>
                <w:rFonts w:hint="eastAsia"/>
                <w:lang w:val="en-US" w:eastAsia="zh-CN"/>
              </w:rPr>
              <w:t>，</w:t>
            </w:r>
            <w:r>
              <w:rPr>
                <w:rFonts w:hint="default"/>
                <w:lang w:val="en-US" w:eastAsia="zh-CN"/>
              </w:rPr>
              <w:t>语言表达流畅</w:t>
            </w:r>
            <w:r>
              <w:rPr>
                <w:rFonts w:hint="eastAsia"/>
                <w:lang w:val="en-US" w:eastAsia="zh-CN"/>
              </w:rPr>
              <w:t>，且程序与报告内容一致。</w:t>
            </w:r>
          </w:p>
        </w:tc>
        <w:tc>
          <w:tcPr>
            <w:tcW w:w="1559" w:type="dxa"/>
            <w:vAlign w:val="center"/>
          </w:tcPr>
          <w:p w14:paraId="6A87E8B0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15</w:t>
            </w:r>
          </w:p>
        </w:tc>
        <w:tc>
          <w:tcPr>
            <w:tcW w:w="1276" w:type="dxa"/>
            <w:vAlign w:val="center"/>
          </w:tcPr>
          <w:p w14:paraId="2AD78238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  <w:tc>
          <w:tcPr>
            <w:tcW w:w="1701" w:type="dxa"/>
            <w:vMerge w:val="continue"/>
            <w:vAlign w:val="center"/>
          </w:tcPr>
          <w:p w14:paraId="2CB1EDCA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</w:tr>
      <w:tr w14:paraId="71010B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4219" w:type="dxa"/>
            <w:vAlign w:val="center"/>
          </w:tcPr>
          <w:p w14:paraId="06882F7E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  <w:rPr>
                <w:b/>
              </w:rPr>
            </w:pPr>
            <w:r>
              <w:rPr>
                <w:rFonts w:hint="eastAsia"/>
                <w:b/>
              </w:rPr>
              <w:t>备注</w:t>
            </w:r>
          </w:p>
        </w:tc>
        <w:tc>
          <w:tcPr>
            <w:tcW w:w="2835" w:type="dxa"/>
            <w:gridSpan w:val="2"/>
            <w:vAlign w:val="center"/>
          </w:tcPr>
          <w:p w14:paraId="299121CB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  <w:r>
              <w:rPr>
                <w:rFonts w:hint="eastAsia"/>
              </w:rPr>
              <w:t>如有大段抄袭或雷同文章均为不合格</w:t>
            </w:r>
          </w:p>
        </w:tc>
        <w:tc>
          <w:tcPr>
            <w:tcW w:w="1701" w:type="dxa"/>
            <w:vMerge w:val="continue"/>
            <w:vAlign w:val="center"/>
          </w:tcPr>
          <w:p w14:paraId="5AD6445D">
            <w:pPr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jc w:val="center"/>
              <w:textAlignment w:val="auto"/>
            </w:pPr>
          </w:p>
        </w:tc>
      </w:tr>
    </w:tbl>
    <w:p w14:paraId="54288704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注:评分标准和各项标准满分仅供教师参考</w:t>
      </w:r>
      <w:r>
        <w:rPr>
          <w:sz w:val="28"/>
          <w:szCs w:val="28"/>
        </w:rPr>
        <w:br w:type="page"/>
      </w:r>
    </w:p>
    <w:sdt>
      <w:sdtPr>
        <w:rPr>
          <w:rFonts w:hint="eastAsia" w:ascii="黑体" w:hAnsi="黑体" w:eastAsia="黑体" w:cs="黑体"/>
          <w:kern w:val="2"/>
          <w:sz w:val="44"/>
          <w:szCs w:val="44"/>
          <w:lang w:val="en-US" w:eastAsia="zh-CN" w:bidi="ar-SA"/>
        </w:rPr>
        <w:id w:val="147455001"/>
        <w15:color w:val="DBDBDB"/>
        <w:docPartObj>
          <w:docPartGallery w:val="Table of Contents"/>
          <w:docPartUnique/>
        </w:docPartObj>
      </w:sdtPr>
      <w:sdtEndPr>
        <w:rPr>
          <w:rFonts w:hint="eastAsia" w:ascii="宋体" w:hAnsi="宋体" w:eastAsia="宋体" w:cs="宋体"/>
          <w:color w:val="181E33"/>
          <w:kern w:val="0"/>
          <w:sz w:val="24"/>
          <w:szCs w:val="24"/>
          <w:lang w:val="en-US" w:eastAsia="zh-CN" w:bidi="ar-SA"/>
        </w:rPr>
      </w:sdtEndPr>
      <w:sdtContent>
        <w:p w14:paraId="0BE2247B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="黑体" w:hAnsi="黑体" w:eastAsia="黑体" w:cs="黑体"/>
              <w:sz w:val="44"/>
              <w:szCs w:val="44"/>
            </w:rPr>
          </w:pPr>
          <w:r>
            <w:rPr>
              <w:rFonts w:hint="eastAsia" w:ascii="黑体" w:hAnsi="黑体" w:eastAsia="黑体" w:cs="黑体"/>
              <w:sz w:val="44"/>
              <w:szCs w:val="44"/>
            </w:rPr>
            <w:t>目</w:t>
          </w:r>
          <w:r>
            <w:rPr>
              <w:rFonts w:hint="eastAsia" w:ascii="黑体" w:hAnsi="黑体" w:eastAsia="黑体" w:cs="黑体"/>
              <w:sz w:val="44"/>
              <w:szCs w:val="44"/>
              <w:lang w:val="en-US" w:eastAsia="zh-CN"/>
            </w:rPr>
            <w:t xml:space="preserve"> </w:t>
          </w:r>
          <w:r>
            <w:rPr>
              <w:rFonts w:hint="eastAsia" w:ascii="黑体" w:hAnsi="黑体" w:eastAsia="黑体" w:cs="黑体"/>
              <w:sz w:val="44"/>
              <w:szCs w:val="44"/>
            </w:rPr>
            <w:t>录</w:t>
          </w:r>
        </w:p>
        <w:p w14:paraId="4EB2282A">
          <w:pPr>
            <w:pStyle w:val="8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instrText xml:space="preserve">TOC \o "1-9" \h \u </w:instrText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_Toc18956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1.数据预处理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_Toc18956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5F41A2DE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_Toc25049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1.1 读取数据文件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_Toc25049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566C1973">
          <w:pPr>
            <w:pStyle w:val="8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_Toc4535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2.数据分析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_Toc4535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5F33C01E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_Toc26049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2.1 个人成绩分析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_Toc26049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17A0448E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_Toc8804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2.3 查找优秀/需辅导学生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_Toc8804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9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642E8E3D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_Toc22314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2.4 分数段分布分析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_Toc22314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10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057F08A7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_Toc31228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2.6 完成作业次数与成绩关系（进阶）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_Toc31228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578C96FD">
          <w:pPr>
            <w:pStyle w:val="8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_Toc2695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3.数据可视化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_Toc2695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53BBA497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_Toc30862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3.1 班级成绩Top10柱状图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_Toc30862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7644FE66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_Toc28532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3.2 学生本人成绩趋势图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_Toc28532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39462286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_Toc10241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3.3 班级不同分数段比例饼图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_Toc10241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16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44563333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_Toc17928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3.4 按年级分组平均成绩对比图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_Toc17928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17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1267AF52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_Toc30367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3.5 综合Dashboard大图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_Toc30367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18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119E2FF7">
          <w:pPr>
            <w:pStyle w:val="8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_Toc24523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4.结论及建议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_Toc24523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71EE1DC5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_Toc8863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4.1 个人成绩分析结论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_Toc8863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668E642E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_Toc20870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4.2 个人提高建议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_Toc20870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1339B457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_Toc25654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4.3 班级整体分析结论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_Toc25654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66C8EF19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_Toc16591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4.4 班级教学建议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_Toc16591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22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4D208345">
          <w:pPr>
            <w:pStyle w:val="8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_Toc18151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5.感想及体会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_Toc18151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39581696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_Toc163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5.1 收获与体会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_Toc163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31096BE4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sz w:val="24"/>
              <w:szCs w:val="24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_Toc20565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5.2 遇到的问题与解决方法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_Toc20565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24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</w:p>
        <w:p w14:paraId="7D2D626A">
          <w:pPr>
            <w:pStyle w:val="9"/>
            <w:keepNext w:val="0"/>
            <w:keepLines w:val="0"/>
            <w:pageBreakBefore w:val="0"/>
            <w:tabs>
              <w:tab w:val="right" w:leader="dot" w:pos="8312"/>
            </w:tabs>
            <w:kinsoku/>
            <w:wordWrap/>
            <w:overflowPunct/>
            <w:topLinePunct w:val="0"/>
            <w:autoSpaceDE/>
            <w:autoSpaceDN/>
            <w:bidi w:val="0"/>
            <w:spacing w:line="360" w:lineRule="auto"/>
            <w:textAlignment w:val="auto"/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  <w:lang w:val="en-US" w:eastAsia="zh-CN" w:bidi="ar-SA"/>
            </w:rPr>
          </w:pP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instrText xml:space="preserve"> HYPERLINK \l _Toc1983 </w:instrText>
          </w:r>
          <w:r>
            <w:rPr>
              <w:rFonts w:hint="eastAsia" w:ascii="宋体" w:hAnsi="宋体" w:eastAsia="宋体" w:cs="宋体"/>
              <w:kern w:val="0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5.3 改进方向与未来展望</w:t>
          </w:r>
          <w:r>
            <w:rPr>
              <w:rFonts w:hint="eastAsia" w:ascii="宋体" w:hAnsi="宋体" w:eastAsia="宋体" w:cs="宋体"/>
              <w:sz w:val="24"/>
              <w:szCs w:val="24"/>
            </w:rPr>
            <w:tab/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begin"/>
          </w:r>
          <w:r>
            <w:rPr>
              <w:rFonts w:hint="eastAsia" w:ascii="宋体" w:hAnsi="宋体" w:eastAsia="宋体" w:cs="宋体"/>
              <w:sz w:val="24"/>
              <w:szCs w:val="24"/>
            </w:rPr>
            <w:instrText xml:space="preserve"> PAGEREF _Toc1983 \h </w:instrTex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sz w:val="24"/>
              <w:szCs w:val="24"/>
            </w:rPr>
            <w:t>25</w:t>
          </w:r>
          <w:r>
            <w:rPr>
              <w:rFonts w:hint="eastAsia" w:ascii="宋体" w:hAnsi="宋体" w:eastAsia="宋体" w:cs="宋体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  <w:r>
            <w:rPr>
              <w:rFonts w:hint="eastAsia" w:ascii="宋体" w:hAnsi="宋体" w:eastAsia="宋体" w:cs="宋体"/>
              <w:color w:val="181E33"/>
              <w:kern w:val="0"/>
              <w:sz w:val="24"/>
              <w:szCs w:val="24"/>
            </w:rPr>
            <w:fldChar w:fldCharType="end"/>
          </w:r>
          <w:bookmarkStart w:id="24" w:name="_GoBack"/>
          <w:bookmarkEnd w:id="24"/>
        </w:p>
      </w:sdtContent>
    </w:sdt>
    <w:p w14:paraId="6909451D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210"/>
        <w:jc w:val="left"/>
        <w:textAlignment w:val="auto"/>
        <w:rPr>
          <w:rFonts w:ascii="微软雅黑" w:hAnsi="微软雅黑" w:eastAsia="微软雅黑" w:cs="宋体"/>
          <w:color w:val="181E33"/>
          <w:kern w:val="0"/>
          <w:sz w:val="21"/>
          <w:szCs w:val="27"/>
          <w:lang w:val="en-US" w:eastAsia="zh-CN" w:bidi="ar-SA"/>
        </w:rPr>
      </w:pPr>
    </w:p>
    <w:p w14:paraId="103C0346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210"/>
        <w:jc w:val="left"/>
        <w:textAlignment w:val="auto"/>
        <w:rPr>
          <w:rFonts w:ascii="微软雅黑" w:hAnsi="微软雅黑" w:eastAsia="微软雅黑" w:cs="宋体"/>
          <w:color w:val="181E33"/>
          <w:kern w:val="0"/>
          <w:sz w:val="27"/>
          <w:szCs w:val="27"/>
        </w:rPr>
      </w:pPr>
    </w:p>
    <w:p w14:paraId="5AC93D53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jc w:val="left"/>
        <w:textAlignment w:val="auto"/>
        <w:rPr>
          <w:rFonts w:ascii="微软雅黑" w:hAnsi="微软雅黑" w:eastAsia="微软雅黑" w:cs="宋体"/>
          <w:color w:val="181E33"/>
          <w:kern w:val="0"/>
          <w:sz w:val="27"/>
          <w:szCs w:val="27"/>
        </w:rPr>
      </w:pPr>
      <w:r>
        <w:rPr>
          <w:rFonts w:ascii="微软雅黑" w:hAnsi="微软雅黑" w:eastAsia="微软雅黑" w:cs="宋体"/>
          <w:color w:val="181E33"/>
          <w:kern w:val="0"/>
          <w:sz w:val="27"/>
          <w:szCs w:val="27"/>
        </w:rPr>
        <w:br w:type="page"/>
      </w:r>
    </w:p>
    <w:p w14:paraId="4C959BA4">
      <w:pPr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firstLine="210"/>
        <w:jc w:val="left"/>
        <w:textAlignment w:val="auto"/>
        <w:rPr>
          <w:rFonts w:ascii="微软雅黑" w:hAnsi="微软雅黑" w:eastAsia="微软雅黑" w:cs="宋体"/>
          <w:color w:val="181E33"/>
          <w:kern w:val="0"/>
          <w:sz w:val="27"/>
          <w:szCs w:val="27"/>
        </w:rPr>
        <w:sectPr>
          <w:footerReference r:id="rId4" w:type="first"/>
          <w:footerReference r:id="rId3" w:type="default"/>
          <w:pgSz w:w="11906" w:h="16838"/>
          <w:pgMar w:top="1440" w:right="1797" w:bottom="1440" w:left="1797" w:header="851" w:footer="992" w:gutter="0"/>
          <w:pgNumType w:start="1"/>
          <w:cols w:space="425" w:num="1"/>
          <w:titlePg/>
          <w:docGrid w:type="linesAndChars" w:linePitch="312" w:charSpace="0"/>
        </w:sectPr>
      </w:pPr>
    </w:p>
    <w:p w14:paraId="1D024032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u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u w:val="none"/>
          <w:lang w:val="en-US" w:eastAsia="zh-CN"/>
        </w:rPr>
        <w:t>2025-2026-2重修班</w:t>
      </w:r>
    </w:p>
    <w:p w14:paraId="37C2AA36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jc w:val="center"/>
        <w:textAlignment w:val="auto"/>
        <w:outlineLvl w:val="9"/>
        <w:rPr>
          <w:rFonts w:hint="eastAsia" w:ascii="方正小标宋简体" w:hAnsi="方正小标宋简体" w:eastAsia="方正小标宋简体" w:cs="方正小标宋简体"/>
          <w:sz w:val="44"/>
          <w:szCs w:val="44"/>
          <w:u w:val="none"/>
          <w:lang w:val="en-US" w:eastAsia="zh-CN"/>
        </w:rPr>
      </w:pPr>
      <w:bookmarkStart w:id="0" w:name="_Toc29323"/>
      <w:r>
        <w:rPr>
          <w:rFonts w:hint="eastAsia" w:ascii="方正小标宋简体" w:hAnsi="方正小标宋简体" w:eastAsia="方正小标宋简体" w:cs="方正小标宋简体"/>
          <w:sz w:val="44"/>
          <w:szCs w:val="44"/>
          <w:u w:val="none"/>
          <w:lang w:val="en-US" w:eastAsia="zh-CN"/>
        </w:rPr>
        <w:t>个人及班级平时成绩数据分析</w:t>
      </w:r>
      <w:bookmarkEnd w:id="0"/>
    </w:p>
    <w:p w14:paraId="45C5F418">
      <w:pPr>
        <w:spacing w:before="240" w:after="120"/>
        <w:outlineLvl w:val="0"/>
      </w:pPr>
      <w:bookmarkStart w:id="1" w:name="_Toc18956"/>
      <w:r>
        <w:rPr>
          <w:rFonts w:ascii="黑体" w:hAnsi="黑体" w:eastAsia="黑体"/>
          <w:b/>
          <w:sz w:val="28"/>
          <w:szCs w:val="28"/>
        </w:rPr>
        <w:t>1.数据预处理</w:t>
      </w:r>
      <w:bookmarkEnd w:id="1"/>
    </w:p>
    <w:p w14:paraId="1AE0A289">
      <w:pPr>
        <w:spacing w:before="160" w:after="80"/>
        <w:outlineLvl w:val="1"/>
      </w:pPr>
      <w:bookmarkStart w:id="2" w:name="_Toc25049"/>
      <w:r>
        <w:rPr>
          <w:rFonts w:ascii="黑体" w:hAnsi="黑体" w:eastAsia="黑体"/>
          <w:b/>
          <w:sz w:val="28"/>
          <w:szCs w:val="28"/>
        </w:rPr>
        <w:t>1.1 读取数据文件</w:t>
      </w:r>
      <w:bookmarkEnd w:id="2"/>
    </w:p>
    <w:p w14:paraId="3190C7ED">
      <w:pPr>
        <w:ind w:firstLine="420"/>
      </w:pPr>
      <w:r>
        <w:rPr>
          <w:rFonts w:ascii="仿宋" w:hAnsi="仿宋" w:eastAsia="仿宋"/>
          <w:b w:val="0"/>
          <w:sz w:val="28"/>
        </w:rPr>
        <w:t>使用pandas库的read_excel函数分别读取"2025-2026-2重修班学生名单.xlsx"和"2025-2026-2重修班_平时作业成绩统计.xlsx"中的多个sheet，包括作业统计、综合成绩、综合成绩（各权重项百分制得分）等数据表。读取后通过shape、columns等属性查看各数据表的维度和列名信息。</w:t>
      </w:r>
    </w:p>
    <w:p w14:paraId="2A0C3D94">
      <w:pPr>
        <w:spacing w:before="160" w:after="80"/>
      </w:pPr>
      <w:r>
        <w:drawing>
          <wp:inline distT="0" distB="0" distL="114300" distR="114300">
            <wp:extent cx="5274310" cy="5793105"/>
            <wp:effectExtent l="0" t="0" r="2540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9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hAnsi="黑体" w:eastAsia="黑体"/>
          <w:b/>
          <w:sz w:val="28"/>
          <w:szCs w:val="28"/>
        </w:rPr>
        <w:t>1.2 数据探查</w:t>
      </w:r>
    </w:p>
    <w:p w14:paraId="6C2703F2">
      <w:pPr>
        <w:ind w:firstLine="420"/>
        <w:rPr>
          <w:rFonts w:ascii="仿宋" w:hAnsi="仿宋" w:eastAsia="仿宋"/>
          <w:b w:val="0"/>
          <w:sz w:val="28"/>
        </w:rPr>
      </w:pPr>
      <w:r>
        <w:rPr>
          <w:rFonts w:ascii="仿宋" w:hAnsi="仿宋" w:eastAsia="仿宋"/>
          <w:b w:val="0"/>
          <w:sz w:val="28"/>
        </w:rPr>
        <w:t>使用info()函数查看各数据表的基本信息（包括列名、非空计数、数据类型等），使用describe()函数获取数值列的统计描述信息（均值、标准差、最小值、最大值等），以便全面了解数据概况。</w:t>
      </w:r>
    </w:p>
    <w:p w14:paraId="10083AEC">
      <w:pPr>
        <w:ind w:firstLine="420"/>
        <w:rPr>
          <w:rFonts w:ascii="仿宋" w:hAnsi="仿宋" w:eastAsia="仿宋"/>
          <w:b w:val="0"/>
          <w:sz w:val="28"/>
        </w:rPr>
      </w:pPr>
      <w:r>
        <w:drawing>
          <wp:inline distT="0" distB="0" distL="114300" distR="114300">
            <wp:extent cx="5265420" cy="2237105"/>
            <wp:effectExtent l="0" t="0" r="11430" b="1079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3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FC8EC">
      <w:pPr>
        <w:spacing w:before="160" w:after="80"/>
      </w:pPr>
      <w:r>
        <w:drawing>
          <wp:inline distT="0" distB="0" distL="114300" distR="114300">
            <wp:extent cx="5271135" cy="4888865"/>
            <wp:effectExtent l="0" t="0" r="5715" b="698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88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hAnsi="黑体" w:eastAsia="黑体"/>
          <w:b/>
          <w:sz w:val="28"/>
          <w:szCs w:val="28"/>
        </w:rPr>
        <w:t>1.3 数据清洗</w:t>
      </w:r>
    </w:p>
    <w:p w14:paraId="744C9DF5">
      <w:pPr>
        <w:ind w:firstLine="420"/>
      </w:pPr>
      <w:r>
        <w:rPr>
          <w:rFonts w:ascii="仿宋" w:hAnsi="仿宋" w:eastAsia="仿宋"/>
          <w:b w:val="0"/>
          <w:sz w:val="28"/>
        </w:rPr>
        <w:t>编写通用的clean_dataframe函数，对每个数据表进行三方面检查：（1）检查重复行并删除；（2）检查各列空值数量及占比；（3）检查文本列中是否存在特殊符号。</w:t>
      </w:r>
    </w:p>
    <w:p w14:paraId="26F8129C">
      <w:pPr>
        <w:ind w:firstLine="420"/>
      </w:pPr>
      <w:r>
        <w:rPr>
          <w:rFonts w:ascii="仿宋" w:hAnsi="仿宋" w:eastAsia="仿宋"/>
          <w:b w:val="0"/>
          <w:sz w:val="28"/>
        </w:rPr>
        <w:t>针对作业成绩表中的空值（即未提交作业），采用填充0分的策略进行处理，即认为未提交作业的学生该次作业得0分。此处理方式符合实际教学场景中的计分规则。</w:t>
      </w:r>
    </w:p>
    <w:p w14:paraId="4054807C">
      <w:pPr>
        <w:spacing w:before="160" w:after="80"/>
      </w:pPr>
      <w:r>
        <w:drawing>
          <wp:inline distT="0" distB="0" distL="114300" distR="114300">
            <wp:extent cx="5272405" cy="4192270"/>
            <wp:effectExtent l="0" t="0" r="4445" b="1778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19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44B2B">
      <w:pPr>
        <w:spacing w:before="160" w:after="80"/>
      </w:pPr>
      <w:r>
        <w:drawing>
          <wp:inline distT="0" distB="0" distL="114300" distR="114300">
            <wp:extent cx="5266055" cy="3043555"/>
            <wp:effectExtent l="0" t="0" r="10795" b="444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04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hAnsi="黑体" w:eastAsia="黑体"/>
          <w:b/>
          <w:sz w:val="28"/>
          <w:szCs w:val="28"/>
        </w:rPr>
        <w:t>1.4 合并数据表</w:t>
      </w:r>
    </w:p>
    <w:p w14:paraId="05597A88">
      <w:pPr>
        <w:ind w:firstLine="420"/>
      </w:pPr>
      <w:r>
        <w:rPr>
          <w:rFonts w:ascii="仿宋" w:hAnsi="仿宋" w:eastAsia="仿宋"/>
          <w:b w:val="0"/>
          <w:sz w:val="28"/>
        </w:rPr>
        <w:t>根据学号将学生名单与作业成绩表进行内连接合并（inner join），随后计算每位学生的作业平均分和完成作业次数。再将综合成绩表中的课程音视频、章节测验、章节学习次数、作业、考试、综合成绩等关键列合并到主表中。最后从班级字段中提取年份信息，生成年级列，为后续按年级分组分析提供依据。</w:t>
      </w:r>
    </w:p>
    <w:p w14:paraId="6F42E006">
      <w:r>
        <w:drawing>
          <wp:inline distT="0" distB="0" distL="114300" distR="114300">
            <wp:extent cx="5266690" cy="2853055"/>
            <wp:effectExtent l="0" t="0" r="10160" b="444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8F6A9">
      <w:r>
        <w:br w:type="page"/>
      </w:r>
    </w:p>
    <w:p w14:paraId="17681212">
      <w:r>
        <w:drawing>
          <wp:inline distT="0" distB="0" distL="114300" distR="114300">
            <wp:extent cx="5268595" cy="2178685"/>
            <wp:effectExtent l="0" t="0" r="8255" b="1206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7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7909132">
      <w:pPr>
        <w:spacing w:before="240" w:after="120"/>
        <w:outlineLvl w:val="0"/>
      </w:pPr>
      <w:bookmarkStart w:id="3" w:name="_Toc4535"/>
      <w:r>
        <w:rPr>
          <w:rFonts w:ascii="黑体" w:hAnsi="黑体" w:eastAsia="黑体"/>
          <w:b/>
          <w:sz w:val="28"/>
          <w:szCs w:val="28"/>
        </w:rPr>
        <w:t>2.数据分析</w:t>
      </w:r>
      <w:bookmarkEnd w:id="3"/>
    </w:p>
    <w:p w14:paraId="4BA7730D">
      <w:pPr>
        <w:spacing w:before="160" w:after="80"/>
        <w:outlineLvl w:val="1"/>
      </w:pPr>
      <w:bookmarkStart w:id="4" w:name="_Toc26049"/>
      <w:r>
        <w:rPr>
          <w:rFonts w:ascii="黑体" w:hAnsi="黑体" w:eastAsia="黑体"/>
          <w:b/>
          <w:sz w:val="28"/>
          <w:szCs w:val="28"/>
        </w:rPr>
        <w:t>2.1 个人成绩分析</w:t>
      </w:r>
      <w:bookmarkEnd w:id="4"/>
    </w:p>
    <w:p w14:paraId="6DBED3AA">
      <w:pPr>
        <w:ind w:firstLine="420"/>
      </w:pPr>
      <w:r>
        <w:rPr>
          <w:rFonts w:ascii="仿宋" w:hAnsi="仿宋" w:eastAsia="仿宋"/>
          <w:b w:val="0"/>
          <w:sz w:val="28"/>
        </w:rPr>
        <w:t>编写analyze_personal函数，对本人（杨笑然，学号202312079）的各项成绩指标进行分析。输出包括各次作业成绩、作业平均分、最高分、最低分、完成作业次数，以及在全班中的作业平均分排名和综合成绩排名。</w:t>
      </w:r>
    </w:p>
    <w:p w14:paraId="5F0B82CE">
      <w:pPr>
        <w:ind w:firstLine="420"/>
      </w:pPr>
      <w:r>
        <w:rPr>
          <w:rFonts w:ascii="仿宋" w:hAnsi="仿宋" w:eastAsia="仿宋"/>
          <w:b w:val="0"/>
          <w:sz w:val="28"/>
        </w:rPr>
        <w:t>分析结果显示：本人5次作业成绩分别为90.0、100.0、100.0、100.0、100.0，作业平均分98.00，排名全班第1。综合成绩12.54，排名第25，说明课程音视频观看等环节有较大提升空间。</w:t>
      </w:r>
    </w:p>
    <w:p w14:paraId="42B28D05">
      <w:pPr>
        <w:spacing w:before="160" w:after="80"/>
      </w:pPr>
      <w:r>
        <w:drawing>
          <wp:inline distT="0" distB="0" distL="114300" distR="114300">
            <wp:extent cx="5270500" cy="3696335"/>
            <wp:effectExtent l="0" t="0" r="6350" b="1841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9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3823E">
      <w:pPr>
        <w:spacing w:before="160" w:after="80"/>
      </w:pPr>
      <w:r>
        <w:drawing>
          <wp:inline distT="0" distB="0" distL="114300" distR="114300">
            <wp:extent cx="5265420" cy="1741805"/>
            <wp:effectExtent l="0" t="0" r="11430" b="1079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74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hAnsi="黑体" w:eastAsia="黑体"/>
          <w:b/>
          <w:sz w:val="28"/>
          <w:szCs w:val="28"/>
        </w:rPr>
        <w:t>2.2 班级整体成绩分析</w:t>
      </w:r>
    </w:p>
    <w:p w14:paraId="0A3CCED9">
      <w:pPr>
        <w:ind w:firstLine="420"/>
      </w:pPr>
      <w:r>
        <w:rPr>
          <w:rFonts w:ascii="仿宋" w:hAnsi="仿宋" w:eastAsia="仿宋"/>
          <w:b w:val="0"/>
          <w:sz w:val="28"/>
        </w:rPr>
        <w:t>编写analyze_class函数，统计全班47名学生的各次作业平均分、最高分、最低分、标准差，以及作业平均分和综合成绩的整体统计量。</w:t>
      </w:r>
    </w:p>
    <w:p w14:paraId="0DEFA638">
      <w:pPr>
        <w:ind w:firstLine="420"/>
      </w:pPr>
      <w:r>
        <w:rPr>
          <w:rFonts w:ascii="仿宋" w:hAnsi="仿宋" w:eastAsia="仿宋"/>
          <w:b w:val="0"/>
          <w:sz w:val="28"/>
        </w:rPr>
        <w:t>分析结果显示：全班作业平均分为74.94分，标准差17.13，说明成绩分化较为明显。综合成绩平均分仅24.42分，最高54.25分，反映出课程音视频观看和章节测验等环节的完成度普遍偏低。</w:t>
      </w:r>
    </w:p>
    <w:p w14:paraId="43626E19">
      <w:pPr>
        <w:spacing w:before="160" w:after="80"/>
      </w:pPr>
      <w:r>
        <w:drawing>
          <wp:inline distT="0" distB="0" distL="114300" distR="114300">
            <wp:extent cx="5265420" cy="2560320"/>
            <wp:effectExtent l="0" t="0" r="11430" b="1143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905E8">
      <w:pPr>
        <w:spacing w:before="160" w:after="80"/>
      </w:pPr>
      <w:r>
        <w:drawing>
          <wp:inline distT="0" distB="0" distL="114300" distR="114300">
            <wp:extent cx="5274310" cy="1800860"/>
            <wp:effectExtent l="0" t="0" r="2540" b="889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0EED7">
      <w:pPr>
        <w:spacing w:before="160" w:after="80"/>
        <w:outlineLvl w:val="1"/>
      </w:pPr>
      <w:bookmarkStart w:id="5" w:name="_Toc8804"/>
      <w:r>
        <w:rPr>
          <w:rFonts w:ascii="黑体" w:hAnsi="黑体" w:eastAsia="黑体"/>
          <w:b/>
          <w:sz w:val="28"/>
          <w:szCs w:val="28"/>
        </w:rPr>
        <w:t>2.3 查找优秀/需辅导学生</w:t>
      </w:r>
      <w:bookmarkEnd w:id="5"/>
    </w:p>
    <w:p w14:paraId="7B03EB6E">
      <w:pPr>
        <w:ind w:firstLine="420"/>
      </w:pPr>
      <w:r>
        <w:rPr>
          <w:rFonts w:ascii="仿宋" w:hAnsi="仿宋" w:eastAsia="仿宋"/>
          <w:b w:val="0"/>
          <w:sz w:val="28"/>
        </w:rPr>
        <w:t>编写find_special_students函数，以作业平均分≥85分作为优秀标准，以平均分&lt;60分或完成作业次数&lt;3次作为需辅导标准，分别筛选出两类学生。</w:t>
      </w:r>
    </w:p>
    <w:p w14:paraId="0B6305A3">
      <w:pPr>
        <w:ind w:firstLine="420"/>
      </w:pPr>
      <w:r>
        <w:rPr>
          <w:rFonts w:ascii="仿宋" w:hAnsi="仿宋" w:eastAsia="仿宋"/>
          <w:b w:val="0"/>
          <w:sz w:val="28"/>
        </w:rPr>
        <w:t>结果显示：成绩优秀学生共11人，其中本人以98.00分位列第一；需辅导学生共6人，其中张旭仅完成1次作业，平均分仅10分，需要重点关注。</w:t>
      </w:r>
    </w:p>
    <w:p w14:paraId="510F8F12">
      <w:pPr>
        <w:spacing w:before="160" w:after="80"/>
      </w:pPr>
      <w:r>
        <w:drawing>
          <wp:inline distT="0" distB="0" distL="114300" distR="114300">
            <wp:extent cx="5266690" cy="2705735"/>
            <wp:effectExtent l="0" t="0" r="10160" b="1841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3A40A">
      <w:pPr>
        <w:spacing w:before="160" w:after="80"/>
      </w:pPr>
      <w:r>
        <w:drawing>
          <wp:inline distT="0" distB="0" distL="114300" distR="114300">
            <wp:extent cx="5273040" cy="3178175"/>
            <wp:effectExtent l="0" t="0" r="3810" b="317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7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8E8C1">
      <w:pPr>
        <w:spacing w:before="160" w:after="80"/>
        <w:outlineLvl w:val="1"/>
      </w:pPr>
      <w:bookmarkStart w:id="6" w:name="_Toc22314"/>
      <w:r>
        <w:rPr>
          <w:rFonts w:ascii="黑体" w:hAnsi="黑体" w:eastAsia="黑体"/>
          <w:b/>
          <w:sz w:val="28"/>
          <w:szCs w:val="28"/>
        </w:rPr>
        <w:t>2.4 分数段分布分析</w:t>
      </w:r>
      <w:bookmarkEnd w:id="6"/>
    </w:p>
    <w:p w14:paraId="575E450B">
      <w:pPr>
        <w:ind w:firstLine="420"/>
      </w:pPr>
      <w:r>
        <w:rPr>
          <w:rFonts w:ascii="仿宋" w:hAnsi="仿宋" w:eastAsia="仿宋"/>
          <w:b w:val="0"/>
          <w:sz w:val="28"/>
        </w:rPr>
        <w:t>编写score_distribution函数，将全班学生按作业平均分划分为60分以下、60-69分、70-79分、80-89分、90分以上五个分数段，统计各段人数和占比。</w:t>
      </w:r>
    </w:p>
    <w:p w14:paraId="482E842A">
      <w:pPr>
        <w:ind w:firstLine="420"/>
      </w:pPr>
      <w:r>
        <w:rPr>
          <w:rFonts w:ascii="仿宋" w:hAnsi="仿宋" w:eastAsia="仿宋"/>
          <w:b w:val="0"/>
          <w:sz w:val="28"/>
        </w:rPr>
        <w:t>分析结果显示：70-79分段人数最多（16人，34.0%），80-89分段13人（27.7%），整体呈现中间多、两端少的正态分布趋势。60分以下仅6人（12.8%），90分以上7人（14.9%）。</w:t>
      </w:r>
    </w:p>
    <w:p w14:paraId="43C1FC81">
      <w:pPr>
        <w:spacing w:before="160" w:after="80"/>
      </w:pPr>
      <w:r>
        <w:drawing>
          <wp:inline distT="0" distB="0" distL="114300" distR="114300">
            <wp:extent cx="5269865" cy="2809240"/>
            <wp:effectExtent l="0" t="0" r="6985" b="1016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A644C">
      <w:pPr>
        <w:spacing w:before="160" w:after="80"/>
      </w:pPr>
      <w:r>
        <w:drawing>
          <wp:inline distT="0" distB="0" distL="114300" distR="114300">
            <wp:extent cx="5270500" cy="1329055"/>
            <wp:effectExtent l="0" t="0" r="6350" b="444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2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黑体" w:hAnsi="黑体" w:eastAsia="黑体"/>
          <w:b/>
          <w:sz w:val="28"/>
          <w:szCs w:val="28"/>
        </w:rPr>
        <w:t>2.5 作业难易程度分析（进阶）</w:t>
      </w:r>
    </w:p>
    <w:p w14:paraId="75D53FA4">
      <w:pPr>
        <w:ind w:firstLine="420"/>
      </w:pPr>
      <w:r>
        <w:rPr>
          <w:rFonts w:ascii="仿宋" w:hAnsi="仿宋" w:eastAsia="仿宋"/>
          <w:b w:val="0"/>
          <w:sz w:val="28"/>
        </w:rPr>
        <w:t>编写analyze_homework_difficulty函数，通过平均分、标准差、零分率（未提交率）、满分率、不及格率五个维度综合评估各次作业的难易程度。</w:t>
      </w:r>
    </w:p>
    <w:p w14:paraId="598CBFBC">
      <w:pPr>
        <w:ind w:firstLine="420"/>
      </w:pPr>
      <w:r>
        <w:rPr>
          <w:rFonts w:ascii="仿宋" w:hAnsi="仿宋" w:eastAsia="仿宋"/>
          <w:b w:val="0"/>
          <w:sz w:val="28"/>
        </w:rPr>
        <w:t>分析结果显示：第11章作业最难（平均52.97分，不及格率63.8%），第5、6章和第9、10章作业难度中等，第1-4章和第7、8章作业较易（满分率分别为59.6%和44.7%）。第11章的高不及格率可能与课程后期学习积极性下降有关。</w:t>
      </w:r>
    </w:p>
    <w:p w14:paraId="72448DB3">
      <w:pPr>
        <w:spacing w:before="160" w:after="80"/>
      </w:pPr>
      <w:r>
        <w:drawing>
          <wp:inline distT="0" distB="0" distL="114300" distR="114300">
            <wp:extent cx="5269230" cy="3141345"/>
            <wp:effectExtent l="0" t="0" r="7620" b="1905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00525">
      <w:pPr>
        <w:spacing w:before="160" w:after="80"/>
      </w:pPr>
      <w:r>
        <w:drawing>
          <wp:inline distT="0" distB="0" distL="114300" distR="114300">
            <wp:extent cx="5273675" cy="1973580"/>
            <wp:effectExtent l="0" t="0" r="3175" b="7620"/>
            <wp:docPr id="1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25A92">
      <w:pPr>
        <w:spacing w:before="160" w:after="80"/>
        <w:outlineLvl w:val="1"/>
      </w:pPr>
      <w:bookmarkStart w:id="7" w:name="_Toc31228"/>
      <w:r>
        <w:rPr>
          <w:rFonts w:ascii="黑体" w:hAnsi="黑体" w:eastAsia="黑体"/>
          <w:b/>
          <w:sz w:val="28"/>
          <w:szCs w:val="28"/>
        </w:rPr>
        <w:t>2.6 完成作业次数与成绩关系（进阶）</w:t>
      </w:r>
      <w:bookmarkEnd w:id="7"/>
    </w:p>
    <w:p w14:paraId="24F14EE5">
      <w:pPr>
        <w:ind w:firstLine="420"/>
      </w:pPr>
      <w:r>
        <w:rPr>
          <w:rFonts w:ascii="仿宋" w:hAnsi="仿宋" w:eastAsia="仿宋"/>
          <w:b w:val="0"/>
          <w:sz w:val="28"/>
        </w:rPr>
        <w:t>编写analyze_completion_vs_score函数，按完成作业次数分组统计人数、平均作业分和平均综合成绩，并计算完成作业次数与综合成绩的Pearson相关系数。</w:t>
      </w:r>
    </w:p>
    <w:p w14:paraId="0A8302E7">
      <w:pPr>
        <w:ind w:firstLine="420"/>
      </w:pPr>
      <w:r>
        <w:rPr>
          <w:rFonts w:ascii="仿宋" w:hAnsi="仿宋" w:eastAsia="仿宋"/>
          <w:b w:val="0"/>
          <w:sz w:val="28"/>
        </w:rPr>
        <w:t>分析结果显示：完成5次作业的学生有36人，平均作业分82.29分，平均综合成绩27.25分；而仅完成1次的学生平均分仅10分。相关系数为0.2881，呈弱正相关，说明完成作业对提高成绩有一定帮助，但综合成绩还受其他因素（如课程音视频观看）的显著影响。</w:t>
      </w:r>
    </w:p>
    <w:p w14:paraId="073B27C6">
      <w:r>
        <w:drawing>
          <wp:inline distT="0" distB="0" distL="114300" distR="114300">
            <wp:extent cx="5272405" cy="2804795"/>
            <wp:effectExtent l="0" t="0" r="4445" b="14605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0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80432">
      <w:r>
        <w:drawing>
          <wp:inline distT="0" distB="0" distL="114300" distR="114300">
            <wp:extent cx="5270500" cy="1633855"/>
            <wp:effectExtent l="0" t="0" r="6350" b="4445"/>
            <wp:docPr id="2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3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092C2">
      <w:r>
        <w:br w:type="page"/>
      </w:r>
    </w:p>
    <w:p w14:paraId="4FB7F918">
      <w:pPr>
        <w:spacing w:before="240" w:after="120"/>
        <w:outlineLvl w:val="0"/>
      </w:pPr>
      <w:bookmarkStart w:id="8" w:name="_Toc2695"/>
      <w:r>
        <w:rPr>
          <w:rFonts w:ascii="黑体" w:hAnsi="黑体" w:eastAsia="黑体"/>
          <w:b/>
          <w:sz w:val="28"/>
          <w:szCs w:val="28"/>
        </w:rPr>
        <w:t>3.数据可视化</w:t>
      </w:r>
      <w:bookmarkEnd w:id="8"/>
    </w:p>
    <w:p w14:paraId="6655AC8D">
      <w:pPr>
        <w:spacing w:before="160" w:after="80"/>
        <w:outlineLvl w:val="1"/>
      </w:pPr>
      <w:bookmarkStart w:id="9" w:name="_Toc30862"/>
      <w:r>
        <w:rPr>
          <w:rFonts w:ascii="黑体" w:hAnsi="黑体" w:eastAsia="黑体"/>
          <w:b/>
          <w:sz w:val="28"/>
          <w:szCs w:val="28"/>
        </w:rPr>
        <w:t>3.1 班级成绩Top10柱状图</w:t>
      </w:r>
      <w:bookmarkEnd w:id="9"/>
    </w:p>
    <w:p w14:paraId="30F510A0">
      <w:pPr>
        <w:ind w:firstLine="420"/>
      </w:pPr>
      <w:r>
        <w:rPr>
          <w:rFonts w:ascii="仿宋" w:hAnsi="仿宋" w:eastAsia="仿宋"/>
          <w:b w:val="0"/>
          <w:sz w:val="28"/>
        </w:rPr>
        <w:t>编写plot_top10函数，绘制班级作业平均分排名前10名的柱状图。本人的柱子以红色突出显示，其余为蓝色，每个柱子上方标注具体分数。</w:t>
      </w:r>
    </w:p>
    <w:p w14:paraId="1D8C25A2">
      <w:pPr>
        <w:jc w:val="center"/>
      </w:pPr>
      <w:r>
        <w:drawing>
          <wp:inline distT="0" distB="0" distL="114300" distR="114300">
            <wp:extent cx="5270500" cy="2635250"/>
            <wp:effectExtent l="0" t="0" r="6350" b="12700"/>
            <wp:docPr id="2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147060"/>
            <wp:effectExtent l="0" t="0" r="6350" b="15240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C3963">
      <w:pPr>
        <w:spacing w:before="160" w:after="80"/>
        <w:outlineLvl w:val="1"/>
      </w:pPr>
      <w:bookmarkStart w:id="10" w:name="_Toc28532"/>
      <w:r>
        <w:rPr>
          <w:rFonts w:ascii="黑体" w:hAnsi="黑体" w:eastAsia="黑体"/>
          <w:b/>
          <w:sz w:val="28"/>
          <w:szCs w:val="28"/>
        </w:rPr>
        <w:t>3.2 学生本人成绩趋势图</w:t>
      </w:r>
      <w:bookmarkEnd w:id="10"/>
    </w:p>
    <w:p w14:paraId="6F7FBB26">
      <w:pPr>
        <w:ind w:firstLine="420"/>
      </w:pPr>
      <w:r>
        <w:rPr>
          <w:rFonts w:ascii="仿宋" w:hAnsi="仿宋" w:eastAsia="仿宋"/>
          <w:b w:val="0"/>
          <w:sz w:val="28"/>
        </w:rPr>
        <w:t>编写plot_personal_trend函数，以折线图展示本人各次作业成绩的变化趋势，同时叠加班级平均分虚线作为参照。图中标注了每个数据点的具体分值。</w:t>
      </w:r>
    </w:p>
    <w:p w14:paraId="72D30EAB">
      <w:pPr>
        <w:ind w:firstLine="420"/>
      </w:pPr>
      <w:r>
        <w:rPr>
          <w:rFonts w:ascii="仿宋" w:hAnsi="仿宋" w:eastAsia="仿宋"/>
          <w:b w:val="0"/>
          <w:sz w:val="28"/>
        </w:rPr>
        <w:t>从图中可以看出，除第1-4章作业（90分）外，本人其余四次作业均获得满分，始终高于班级平均水平。</w:t>
      </w:r>
    </w:p>
    <w:p w14:paraId="54005BDE">
      <w:pPr>
        <w:jc w:val="center"/>
      </w:pPr>
      <w:r>
        <w:drawing>
          <wp:inline distT="0" distB="0" distL="114300" distR="114300">
            <wp:extent cx="5267960" cy="3894455"/>
            <wp:effectExtent l="0" t="0" r="8890" b="10795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89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147060"/>
            <wp:effectExtent l="0" t="0" r="6350" b="15240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CD9A2">
      <w:pPr>
        <w:spacing w:before="160" w:after="80"/>
        <w:outlineLvl w:val="1"/>
      </w:pPr>
      <w:bookmarkStart w:id="11" w:name="_Toc10241"/>
      <w:r>
        <w:rPr>
          <w:rFonts w:ascii="黑体" w:hAnsi="黑体" w:eastAsia="黑体"/>
          <w:b/>
          <w:sz w:val="28"/>
          <w:szCs w:val="28"/>
        </w:rPr>
        <w:t>3.3 班级不同分数段比例饼图</w:t>
      </w:r>
      <w:bookmarkEnd w:id="11"/>
    </w:p>
    <w:p w14:paraId="2EE585FE">
      <w:pPr>
        <w:ind w:firstLine="420"/>
      </w:pPr>
      <w:r>
        <w:rPr>
          <w:rFonts w:ascii="仿宋" w:hAnsi="仿宋" w:eastAsia="仿宋"/>
          <w:b w:val="0"/>
          <w:sz w:val="28"/>
        </w:rPr>
        <w:t>编写plot_score_pie函数，以环形饼图展示全班作业平均分的分数段分布。各分段采用不同颜色区分，中心显示总人数。</w:t>
      </w:r>
    </w:p>
    <w:p w14:paraId="02785A7F">
      <w:pPr>
        <w:jc w:val="center"/>
      </w:pPr>
      <w:r>
        <w:drawing>
          <wp:inline distT="0" distB="0" distL="114300" distR="114300">
            <wp:extent cx="5273675" cy="4099560"/>
            <wp:effectExtent l="0" t="0" r="3175" b="15240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09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5452745"/>
            <wp:effectExtent l="0" t="0" r="8255" b="14605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45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934BE">
      <w:pPr>
        <w:spacing w:before="160" w:after="80"/>
        <w:outlineLvl w:val="1"/>
      </w:pPr>
      <w:bookmarkStart w:id="12" w:name="_Toc17928"/>
      <w:r>
        <w:rPr>
          <w:rFonts w:ascii="黑体" w:hAnsi="黑体" w:eastAsia="黑体"/>
          <w:b/>
          <w:sz w:val="28"/>
          <w:szCs w:val="28"/>
        </w:rPr>
        <w:t>3.4 按年级分组平均成绩对比图</w:t>
      </w:r>
      <w:bookmarkEnd w:id="12"/>
    </w:p>
    <w:p w14:paraId="30710D22">
      <w:pPr>
        <w:ind w:firstLine="420"/>
      </w:pPr>
      <w:r>
        <w:rPr>
          <w:rFonts w:ascii="仿宋" w:hAnsi="仿宋" w:eastAsia="仿宋"/>
          <w:b w:val="0"/>
          <w:sz w:val="28"/>
        </w:rPr>
        <w:t>编写plot_class_comparison函数，选取人数最多的两个年级（2024级和2023级）进行对比。在同一画布中绘制两个子图：左侧为分组柱状图，右侧为折线对比图，直观展示两个年级在各次作业上的平均成绩差异。</w:t>
      </w:r>
    </w:p>
    <w:p w14:paraId="035F58EA">
      <w:pPr>
        <w:jc w:val="center"/>
      </w:pPr>
      <w:r>
        <w:drawing>
          <wp:inline distT="0" distB="0" distL="114300" distR="114300">
            <wp:extent cx="5269865" cy="5850255"/>
            <wp:effectExtent l="0" t="0" r="6985" b="17145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85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2043430"/>
            <wp:effectExtent l="0" t="0" r="5715" b="13970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5C069">
      <w:pPr>
        <w:spacing w:before="160" w:after="80"/>
        <w:outlineLvl w:val="1"/>
      </w:pPr>
      <w:bookmarkStart w:id="13" w:name="_Toc30367"/>
      <w:r>
        <w:rPr>
          <w:rFonts w:ascii="黑体" w:hAnsi="黑体" w:eastAsia="黑体"/>
          <w:b/>
          <w:sz w:val="28"/>
          <w:szCs w:val="28"/>
        </w:rPr>
        <w:t>3.5 综合Dashboard大图</w:t>
      </w:r>
      <w:bookmarkEnd w:id="13"/>
    </w:p>
    <w:p w14:paraId="72E4584E">
      <w:pPr>
        <w:ind w:firstLine="420"/>
      </w:pPr>
      <w:r>
        <w:rPr>
          <w:rFonts w:ascii="仿宋" w:hAnsi="仿宋" w:eastAsia="仿宋"/>
          <w:b w:val="0"/>
          <w:sz w:val="28"/>
        </w:rPr>
        <w:t>编写plot_combined_dashboard函数，将以上6个核心分析图表整合到一张20×22英寸的大图中，包括：Top10柱状图、个人成绩趋势图、分数段饼图、年级对比柱状图、作业难度横向条形图、完成次数与综合成绩散点图。调整了子图间距和比例，确保整体视觉平衡、美观。</w:t>
      </w:r>
    </w:p>
    <w:p w14:paraId="6FB9DCC7">
      <w:pPr>
        <w:jc w:val="center"/>
      </w:pPr>
      <w:r>
        <w:drawing>
          <wp:inline distT="0" distB="0" distL="114300" distR="114300">
            <wp:extent cx="5269865" cy="5120005"/>
            <wp:effectExtent l="0" t="0" r="6985" b="4445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12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8D74A">
      <w:pPr>
        <w:jc w:val="center"/>
      </w:pPr>
      <w:r>
        <w:drawing>
          <wp:inline distT="0" distB="0" distL="114300" distR="114300">
            <wp:extent cx="5270500" cy="5059045"/>
            <wp:effectExtent l="0" t="0" r="6350" b="8255"/>
            <wp:docPr id="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05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539740"/>
            <wp:effectExtent l="0" t="0" r="5715" b="3810"/>
            <wp:docPr id="3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3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259B7">
      <w:r>
        <w:br w:type="page"/>
      </w:r>
    </w:p>
    <w:p w14:paraId="101C5185">
      <w:pPr>
        <w:spacing w:before="240" w:after="120"/>
        <w:outlineLvl w:val="0"/>
      </w:pPr>
      <w:bookmarkStart w:id="14" w:name="_Toc24523"/>
      <w:r>
        <w:rPr>
          <w:rFonts w:ascii="黑体" w:hAnsi="黑体" w:eastAsia="黑体"/>
          <w:b/>
          <w:sz w:val="28"/>
          <w:szCs w:val="28"/>
        </w:rPr>
        <w:t>4.结论及建议</w:t>
      </w:r>
      <w:bookmarkEnd w:id="14"/>
    </w:p>
    <w:p w14:paraId="44237902">
      <w:pPr>
        <w:spacing w:before="160" w:after="80"/>
        <w:outlineLvl w:val="1"/>
      </w:pPr>
      <w:bookmarkStart w:id="15" w:name="_Toc8863"/>
      <w:r>
        <w:rPr>
          <w:rFonts w:ascii="黑体" w:hAnsi="黑体" w:eastAsia="黑体"/>
          <w:b/>
          <w:sz w:val="28"/>
          <w:szCs w:val="28"/>
        </w:rPr>
        <w:t>4.1 个人成绩分析结论</w:t>
      </w:r>
      <w:bookmarkEnd w:id="15"/>
    </w:p>
    <w:p w14:paraId="1B745C41">
      <w:pPr>
        <w:ind w:firstLine="420"/>
      </w:pPr>
      <w:r>
        <w:rPr>
          <w:rFonts w:ascii="仿宋" w:hAnsi="仿宋" w:eastAsia="仿宋"/>
          <w:b w:val="0"/>
          <w:sz w:val="28"/>
        </w:rPr>
        <w:t>本人作业平均分98.00分，位列全班第1名，5次作业中4次获得满分，整体作业表现优异。然而综合成绩仅12.54分（排名第25），主要原因是课程音视频观看时长不足、章节测验未完成等环节拉低了总分。</w:t>
      </w:r>
    </w:p>
    <w:p w14:paraId="6015F027">
      <w:pPr>
        <w:spacing w:before="160" w:after="80"/>
        <w:outlineLvl w:val="1"/>
      </w:pPr>
      <w:bookmarkStart w:id="16" w:name="_Toc20870"/>
      <w:r>
        <w:rPr>
          <w:rFonts w:ascii="黑体" w:hAnsi="黑体" w:eastAsia="黑体"/>
          <w:b/>
          <w:sz w:val="28"/>
          <w:szCs w:val="28"/>
        </w:rPr>
        <w:t>4.2 个人提高建议</w:t>
      </w:r>
      <w:bookmarkEnd w:id="16"/>
    </w:p>
    <w:p w14:paraId="1DAC94CE">
      <w:pPr>
        <w:ind w:firstLine="420"/>
      </w:pPr>
      <w:r>
        <w:rPr>
          <w:rFonts w:ascii="仿宋" w:hAnsi="仿宋" w:eastAsia="仿宋"/>
          <w:b w:val="0"/>
          <w:sz w:val="28"/>
        </w:rPr>
        <w:t>（1）加强课程音视频的观看，合理安排学习时间，确保每章视频的完整观看；</w:t>
      </w:r>
    </w:p>
    <w:p w14:paraId="74E5454D">
      <w:pPr>
        <w:ind w:firstLine="420" w:firstLineChars="0"/>
        <w:outlineLvl w:val="9"/>
      </w:pPr>
      <w:bookmarkStart w:id="17" w:name="_Toc18265"/>
      <w:r>
        <w:rPr>
          <w:rFonts w:ascii="仿宋" w:hAnsi="仿宋" w:eastAsia="仿宋"/>
          <w:b w:val="0"/>
          <w:sz w:val="28"/>
        </w:rPr>
        <w:t>（2）积极完成章节测验，巩固所学知识；</w:t>
      </w:r>
      <w:bookmarkEnd w:id="17"/>
    </w:p>
    <w:p w14:paraId="0EFB2A83">
      <w:pPr>
        <w:ind w:firstLine="420"/>
      </w:pPr>
      <w:r>
        <w:rPr>
          <w:rFonts w:ascii="仿宋" w:hAnsi="仿宋" w:eastAsia="仿宋"/>
          <w:b w:val="0"/>
          <w:sz w:val="28"/>
        </w:rPr>
        <w:t>（3）保持作业的高完成度和高质量，继续发扬认真完成作业的良好习惯。</w:t>
      </w:r>
    </w:p>
    <w:p w14:paraId="5B8414D5">
      <w:pPr>
        <w:spacing w:before="160" w:after="80"/>
        <w:outlineLvl w:val="1"/>
      </w:pPr>
      <w:bookmarkStart w:id="18" w:name="_Toc25654"/>
      <w:r>
        <w:rPr>
          <w:rFonts w:ascii="黑体" w:hAnsi="黑体" w:eastAsia="黑体"/>
          <w:b/>
          <w:sz w:val="28"/>
          <w:szCs w:val="28"/>
        </w:rPr>
        <w:t>4.3 班级整体分析结论</w:t>
      </w:r>
      <w:bookmarkEnd w:id="18"/>
    </w:p>
    <w:p w14:paraId="173779E6">
      <w:pPr>
        <w:ind w:firstLine="420"/>
      </w:pPr>
      <w:r>
        <w:rPr>
          <w:rFonts w:ascii="仿宋" w:hAnsi="仿宋" w:eastAsia="仿宋"/>
          <w:b w:val="0"/>
          <w:sz w:val="28"/>
        </w:rPr>
        <w:t>全班47人中，作业平均分74.94分，标准差17.13，成绩分化明显。70-79分段人数最多（34.0%），说明大部分学生处于中等水平。需辅导学生6人（12.8%），主要表现为作业完成次数少或分数偏低。第11章作业不及格率高达63.8%，是全班的薄弱环节。综合成绩平均分仅24.42分，远低于作业平均分，反映出课程音视频和章节测验的完成度严重不足。</w:t>
      </w:r>
    </w:p>
    <w:p w14:paraId="18629E47">
      <w:pPr>
        <w:spacing w:before="160" w:after="80"/>
        <w:outlineLvl w:val="1"/>
      </w:pPr>
      <w:bookmarkStart w:id="19" w:name="_Toc16591"/>
      <w:r>
        <w:rPr>
          <w:rFonts w:ascii="黑体" w:hAnsi="黑体" w:eastAsia="黑体"/>
          <w:b/>
          <w:sz w:val="28"/>
          <w:szCs w:val="28"/>
        </w:rPr>
        <w:t>4.4 班级教学建议</w:t>
      </w:r>
      <w:bookmarkEnd w:id="19"/>
    </w:p>
    <w:p w14:paraId="68D892BE">
      <w:pPr>
        <w:ind w:firstLine="420"/>
      </w:pPr>
      <w:r>
        <w:rPr>
          <w:rFonts w:ascii="仿宋" w:hAnsi="仿宋" w:eastAsia="仿宋"/>
          <w:b w:val="0"/>
          <w:sz w:val="28"/>
        </w:rPr>
        <w:t>（1）针对需辅导的6名学生，建议老师进行一对一沟通，了解其学习困难，制定个性化帮扶方案；</w:t>
      </w:r>
    </w:p>
    <w:p w14:paraId="3BD95C03">
      <w:pPr>
        <w:ind w:firstLine="420"/>
      </w:pPr>
      <w:r>
        <w:rPr>
          <w:rFonts w:ascii="仿宋" w:hAnsi="仿宋" w:eastAsia="仿宋"/>
          <w:b w:val="0"/>
          <w:sz w:val="28"/>
        </w:rPr>
        <w:t>（2）加强课程音视频观看的监督和提醒机制，可设置观看进度的阶段性检查点；</w:t>
      </w:r>
    </w:p>
    <w:p w14:paraId="4AFB92DC">
      <w:pPr>
        <w:ind w:firstLine="420"/>
      </w:pPr>
      <w:r>
        <w:rPr>
          <w:rFonts w:ascii="仿宋" w:hAnsi="仿宋" w:eastAsia="仿宋"/>
          <w:b w:val="0"/>
          <w:sz w:val="28"/>
        </w:rPr>
        <w:t>（3）针对第11章（数据可视化）作业难度较大的问题，建议增加课堂讲解和练习环节，降低学习门槛；</w:t>
      </w:r>
    </w:p>
    <w:p w14:paraId="558FF94A">
      <w:pPr>
        <w:ind w:firstLine="420"/>
      </w:pPr>
      <w:r>
        <w:rPr>
          <w:rFonts w:ascii="仿宋" w:hAnsi="仿宋" w:eastAsia="仿宋"/>
          <w:b w:val="0"/>
          <w:sz w:val="28"/>
        </w:rPr>
        <w:t>（4）鼓励学生按时完成每次作业，数据分析表明完成作业次数与综合成绩呈正相关（r=0.29），坚持完成作业有助于提升整体学习效果；</w:t>
      </w:r>
    </w:p>
    <w:p w14:paraId="1C3D2F91">
      <w:pPr>
        <w:ind w:firstLine="420"/>
      </w:pPr>
      <w:r>
        <w:rPr>
          <w:rFonts w:ascii="仿宋" w:hAnsi="仿宋" w:eastAsia="仿宋"/>
          <w:b w:val="0"/>
          <w:sz w:val="28"/>
        </w:rPr>
        <w:t>（5）可以考虑在期中增加一次形成性评价，及时发现并纠正学习问题。</w:t>
      </w:r>
    </w:p>
    <w:p w14:paraId="33845E28">
      <w:r>
        <w:br w:type="page"/>
      </w:r>
    </w:p>
    <w:p w14:paraId="6A7E759A">
      <w:pPr>
        <w:spacing w:before="240" w:after="120"/>
        <w:outlineLvl w:val="0"/>
      </w:pPr>
      <w:bookmarkStart w:id="20" w:name="_Toc18151"/>
      <w:r>
        <w:rPr>
          <w:rFonts w:ascii="黑体" w:hAnsi="黑体" w:eastAsia="黑体"/>
          <w:b/>
          <w:sz w:val="28"/>
          <w:szCs w:val="28"/>
        </w:rPr>
        <w:t>5.感想及体会</w:t>
      </w:r>
      <w:bookmarkEnd w:id="20"/>
    </w:p>
    <w:p w14:paraId="18B8F606">
      <w:pPr>
        <w:spacing w:before="160" w:after="80"/>
        <w:outlineLvl w:val="1"/>
      </w:pPr>
      <w:bookmarkStart w:id="21" w:name="_Toc163"/>
      <w:r>
        <w:rPr>
          <w:rFonts w:ascii="黑体" w:hAnsi="黑体" w:eastAsia="黑体"/>
          <w:b/>
          <w:sz w:val="28"/>
          <w:szCs w:val="28"/>
        </w:rPr>
        <w:t>5.1 收获与体会</w:t>
      </w:r>
      <w:bookmarkEnd w:id="21"/>
    </w:p>
    <w:p w14:paraId="45DB9A1C">
      <w:pPr>
        <w:ind w:firstLine="420"/>
      </w:pPr>
      <w:r>
        <w:rPr>
          <w:rFonts w:ascii="仿宋" w:hAnsi="仿宋" w:eastAsia="仿宋"/>
          <w:b w:val="0"/>
          <w:sz w:val="28"/>
        </w:rPr>
        <w:t>通过本次大作业，我系统地运用了Python编程语言结合Pandas和Matplotlib库进行数据分析和可视化实践。在完成作业过程中，我深刻体会到数据预处理的重要性——原始数据中存在空值、格式不一致等问题，需要仔细清洗才能确保后续分析结果的准确性。</w:t>
      </w:r>
    </w:p>
    <w:p w14:paraId="59D8C7C8">
      <w:pPr>
        <w:ind w:firstLine="420"/>
      </w:pPr>
      <w:r>
        <w:rPr>
          <w:rFonts w:ascii="仿宋" w:hAnsi="仿宋" w:eastAsia="仿宋"/>
          <w:b w:val="0"/>
          <w:sz w:val="28"/>
        </w:rPr>
        <w:t>在数据分析环节，我学会了使用Pandas进行数据合并、分组聚合、统计描述等操作，并通过计算相关系数来探究变量之间的关系。在可视化环节，我掌握了Matplotlib中多种图表类型的绑定方法，包括柱状图、折线图、饼图、散点图和水平条形图，并学会了在一张画布上整合多个子图。</w:t>
      </w:r>
    </w:p>
    <w:p w14:paraId="32488CE9">
      <w:pPr>
        <w:ind w:firstLine="420"/>
      </w:pPr>
      <w:r>
        <w:rPr>
          <w:rFonts w:ascii="仿宋" w:hAnsi="仿宋" w:eastAsia="仿宋"/>
          <w:b w:val="0"/>
          <w:sz w:val="28"/>
        </w:rPr>
        <w:t>此外，通过编写函数封装重复代码，我提高了代码的可读性和复用性。这种模块化的编程思维对今后的学习和工作都有很大帮助。</w:t>
      </w:r>
    </w:p>
    <w:p w14:paraId="6F34ED1B">
      <w:pPr>
        <w:spacing w:before="160" w:after="80"/>
        <w:outlineLvl w:val="1"/>
      </w:pPr>
      <w:bookmarkStart w:id="22" w:name="_Toc20565"/>
      <w:r>
        <w:rPr>
          <w:rFonts w:ascii="黑体" w:hAnsi="黑体" w:eastAsia="黑体"/>
          <w:b/>
          <w:sz w:val="28"/>
          <w:szCs w:val="28"/>
        </w:rPr>
        <w:t>5.2 遇到的问题与解决方法</w:t>
      </w:r>
      <w:bookmarkEnd w:id="22"/>
    </w:p>
    <w:p w14:paraId="56276799">
      <w:pPr>
        <w:ind w:firstLine="420"/>
      </w:pPr>
      <w:r>
        <w:rPr>
          <w:rFonts w:ascii="仿宋" w:hAnsi="仿宋" w:eastAsia="仿宋"/>
          <w:b w:val="0"/>
          <w:sz w:val="28"/>
        </w:rPr>
        <w:t>（1）中文显示问题：Matplotlib默认不支持中文，通过设置rcParams中的font.sans-serif参数为SimHei解决了中文乱码问题；</w:t>
      </w:r>
    </w:p>
    <w:p w14:paraId="01EF9DA5">
      <w:pPr>
        <w:ind w:firstLine="420"/>
      </w:pPr>
      <w:r>
        <w:rPr>
          <w:rFonts w:ascii="仿宋" w:hAnsi="仿宋" w:eastAsia="仿宋"/>
          <w:b w:val="0"/>
          <w:sz w:val="28"/>
        </w:rPr>
        <w:t>（2）数据合并时列名冲突：两个数据表中都有"班级"列，使用merge函数的suffixes参数解决了列名重复问题；</w:t>
      </w:r>
    </w:p>
    <w:p w14:paraId="011AC29E">
      <w:pPr>
        <w:ind w:firstLine="420"/>
      </w:pPr>
      <w:r>
        <w:rPr>
          <w:rFonts w:ascii="仿宋" w:hAnsi="仿宋" w:eastAsia="仿宋"/>
          <w:b w:val="0"/>
          <w:sz w:val="28"/>
        </w:rPr>
        <w:t>（3）综合成绩Excel表头格式特殊：前两行为合并单元格的标题信息，通过设置skiprows=2跳过标题行，再手动指定列名解决；</w:t>
      </w:r>
    </w:p>
    <w:p w14:paraId="46D8DC7B">
      <w:pPr>
        <w:ind w:firstLine="420"/>
      </w:pPr>
      <w:r>
        <w:rPr>
          <w:rFonts w:ascii="仿宋" w:hAnsi="仿宋" w:eastAsia="仿宋"/>
          <w:b w:val="0"/>
          <w:sz w:val="28"/>
        </w:rPr>
        <w:t>（4）空值处理策略选择：对于作业成绩中的空值，经过分析判断为未提交作业，因此采用填充0分的策略，这比直接删除更符合实际情况。</w:t>
      </w:r>
    </w:p>
    <w:p w14:paraId="7FD914FB">
      <w:pPr>
        <w:spacing w:before="160" w:after="80"/>
        <w:outlineLvl w:val="1"/>
      </w:pPr>
      <w:bookmarkStart w:id="23" w:name="_Toc1983"/>
      <w:r>
        <w:rPr>
          <w:rFonts w:ascii="黑体" w:hAnsi="黑体" w:eastAsia="黑体"/>
          <w:b/>
          <w:sz w:val="28"/>
          <w:szCs w:val="28"/>
        </w:rPr>
        <w:t>5.3 改进方向与未来展望</w:t>
      </w:r>
      <w:bookmarkEnd w:id="23"/>
    </w:p>
    <w:p w14:paraId="471E4010">
      <w:pPr>
        <w:ind w:firstLine="420"/>
      </w:pPr>
      <w:r>
        <w:rPr>
          <w:rFonts w:ascii="仿宋" w:hAnsi="仿宋" w:eastAsia="仿宋"/>
          <w:b w:val="0"/>
          <w:sz w:val="28"/>
        </w:rPr>
        <w:t>在本次数据分析过程中，仍有一些可以改进的地方：例如可以进一步分析各专业之间的成绩差异、探究学习时间分布对成绩的影响等。未来我计划将所学的Python数据分析技能应用到实际工作中，如商业数据分析、市场调研数据处理等领域，持续提升自己的数据分析能力。</w:t>
      </w:r>
    </w:p>
    <w:p w14:paraId="3FB69B50">
      <w:pPr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jc w:val="both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u w:val="none"/>
          <w:lang w:val="en-US" w:eastAsia="zh-CN"/>
        </w:rPr>
      </w:pPr>
    </w:p>
    <w:p w14:paraId="4187D22C">
      <w:pPr>
        <w:pStyle w:val="10"/>
        <w:spacing w:before="0" w:beforeAutospacing="0" w:after="0" w:afterAutospacing="0"/>
        <w:ind w:firstLine="480"/>
        <w:rPr>
          <w:rFonts w:hint="default" w:ascii="方正仿宋_GB2312" w:hAnsi="方正仿宋_GB2312" w:eastAsia="方正仿宋_GB2312" w:cs="方正仿宋_GB2312"/>
          <w:i w:val="0"/>
          <w:iCs w:val="0"/>
          <w:caps w:val="0"/>
          <w:color w:val="05073B"/>
          <w:spacing w:val="0"/>
          <w:sz w:val="28"/>
          <w:szCs w:val="28"/>
          <w:shd w:val="clear" w:fill="FDFDFE"/>
          <w:lang w:val="en-US" w:eastAsia="zh-CN"/>
        </w:rPr>
      </w:pPr>
    </w:p>
    <w:sectPr>
      <w:footerReference r:id="rId5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BFABEE9F-4A50-48C0-AA08-B08B767C1A4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2" w:fontKey="{9F1FFC87-0ED9-4896-89BE-2C9A67CE3206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4E12E9AC-52E6-4614-803B-3BB0116D69A2}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PingFang-SC-Regular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4" w:fontKey="{A3DF9161-07BC-4064-8B9A-03B966E40476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1E3A6089-57EE-482E-A101-FE5F25BBEADD}"/>
  </w:font>
  <w:font w:name="WPSEMBED1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WPSEMBED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KSOF7FC4CF2A">
    <w:panose1 w:val="020B0604020202020204"/>
    <w:charset w:val="00"/>
    <w:family w:val="auto"/>
    <w:pitch w:val="default"/>
    <w:sig w:usb0="00000001" w:usb1="00000000" w:usb2="00000000" w:usb3="00000000" w:csb0="00000001" w:csb1="00000000"/>
  </w:font>
  <w:font w:name="WPSEMBED3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684245977"/>
      <w:docPartObj>
        <w:docPartGallery w:val="autotext"/>
      </w:docPartObj>
    </w:sdtPr>
    <w:sdtContent>
      <w:p w14:paraId="4874DDFE">
        <w:pPr>
          <w:pStyle w:val="6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3</w:t>
        </w:r>
        <w:r>
          <w:fldChar w:fldCharType="end"/>
        </w:r>
      </w:p>
    </w:sdtContent>
  </w:sdt>
  <w:p w14:paraId="02CBA40F">
    <w:pPr>
      <w:pStyle w:val="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D8B4E3">
    <w:pPr>
      <w:pStyle w:val="6"/>
      <w:jc w:val="center"/>
    </w:pPr>
  </w:p>
  <w:p w14:paraId="1E72ACB0">
    <w:pPr>
      <w:pStyle w:val="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724515">
    <w:pPr>
      <w:pStyle w:val="6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52458"/>
                            <w:docPartObj>
                              <w:docPartGallery w:val="autotext"/>
                            </w:docPartObj>
                          </w:sdtPr>
                          <w:sdtContent>
                            <w:p w14:paraId="2E89E2C3">
                              <w:pPr>
                                <w:pStyle w:val="6"/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PAGE   \* MERGEFORMAT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lang w:val="zh-CN"/>
                                </w:rPr>
                                <w:t>3</w:t>
                              </w:r>
                              <w:r>
                                <w:fldChar w:fldCharType="end"/>
                              </w:r>
                            </w:p>
                          </w:sdtContent>
                        </w:sdt>
                        <w:p w14:paraId="2ED7F14A"/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/Ipr3cAgAAJAYAAA4AAABkcnMvZTJvRG9jLnhtbK1UzW7UMBC+I/EO&#10;lu9pfppus6tmq+2mQUgVrVQQZ6/jbCwc27K9PwVxhTfgxIU7z9XnYJxsdtuCUCXYQ3bsGX+e75vx&#10;nJ1vW4HWzFiuZI7jowgjJqmquFzm+N3bMsgwso7IigglWY7vmMXn05cvzjZ6whLVKFExgwBE2slG&#10;57hxTk/C0NKGtcQeKc0kOGtlWuJgaZZhZcgG0FsRJlE0CjfKVNooyqyF3aJ34h2ieQ6gqmtOWaHo&#10;qmXS9aiGCeKAkm24tnjaZVvXjLrrurbMIZFjYOq6L1wC9sJ/w+kZmSwN0Q2nuxTIc1J4wqklXMKl&#10;e6iCOIJWhv8G1XJqlFW1O6KqDXsinSLAIo6eaHPbEM06LiC11XvR7f+DpW/WNwbxKscJRpK0UPD7&#10;b1/vv/+8//EFJV6ejbYTiLrVEOe2F2oLTTPsW9j0rLe1af0/8EHgB3Hv9uKyrUPUH8qSLIvARcE3&#10;LAA/PBzXxrpXTLXIGzk2UL1OVLK+sq4PHUL8bVKVXIiugkKiTY5HxydRd2DvAXAhfSxkARg7q6/M&#10;p3E0vswuszRIk9FlkEZFEczKeRqMyvj0pDgu5vMi/uzx4nTS8Kpi0t83dEmcPq8Ku07p67vvE6sE&#10;rzycT8ma5WIuDFoT6NKy+3mFIfkHYeHjNDo3sHpCKU7S6CIZB+UoOw3SMj0JxqdRFkTx+GI8itJx&#10;WpSPKV1xyf6d0iP1HyRNJr5ge24LQeiHv1Lz6RyogQJD4ULfh32/ecttF1uQyJsLVd1BbxrVP26r&#10;acnh0iti3Q0x8Jqh52DeuWv41EJBn6idhVGjzMc/7ft4KC94MdrAdMixhGGIkXgt4fEBoBsMMxiL&#10;wZCrdq6gkDHMUU07Ew4YJwazNqp9D0Nw5u8AF5EUbsqxG8y56ycUDFHKZrMuaKUNXzb9ARgdmrgr&#10;eaupv6ZrIT1bOXgP3TM5qAJS+gUMj07U3aDz0+nhuos6DPfpL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EUFAABbQ29udGVudF9UeXBlc10ueG1s&#10;UEsBAhQACgAAAAAAh07iQAAAAAAAAAAAAAAAAAYAAAAAAAAAAAAQAAAAJwQAAF9yZWxzL1BLAQIU&#10;ABQAAAAIAIdO4kCKFGY80QAAAJQBAAALAAAAAAAAAAEAIAAAAEsEAABfcmVscy8ucmVsc1BLAQIU&#10;AAoAAAAAAIdO4kAAAAAAAAAAAAAAAAAEAAAAAAAAAAAAEAAAAAAAAABkcnMvUEsBAhQAFAAAAAgA&#10;h07iQLNJWO7QAAAABQEAAA8AAAAAAAAAAQAgAAAAIgAAAGRycy9kb3ducmV2LnhtbFBLAQIUABQA&#10;AAAIAIdO4kBfyKa93AIAACQGAAAOAAAAAAAAAAEAIAAAAB8BAABkcnMvZTJvRG9jLnhtbFBLBQYA&#10;AAAABgAGAFkBAABtBg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52458"/>
                      <w:docPartObj>
                        <w:docPartGallery w:val="autotext"/>
                      </w:docPartObj>
                    </w:sdtPr>
                    <w:sdtContent>
                      <w:p w14:paraId="2E89E2C3">
                        <w:pPr>
                          <w:pStyle w:val="6"/>
                          <w:jc w:val="center"/>
                        </w:pPr>
                        <w:r>
                          <w:fldChar w:fldCharType="begin"/>
                        </w:r>
                        <w:r>
                          <w:instrText xml:space="preserve">PAGE   \* MERGEFORMAT</w:instrText>
                        </w:r>
                        <w:r>
                          <w:fldChar w:fldCharType="separate"/>
                        </w:r>
                        <w:r>
                          <w:rPr>
                            <w:lang w:val="zh-CN"/>
                          </w:rPr>
                          <w:t>3</w:t>
                        </w:r>
                        <w:r>
                          <w:fldChar w:fldCharType="end"/>
                        </w:r>
                      </w:p>
                    </w:sdtContent>
                  </w:sdt>
                  <w:p w14:paraId="2ED7F14A"/>
                </w:txbxContent>
              </v:textbox>
            </v:shape>
          </w:pict>
        </mc:Fallback>
      </mc:AlternateContent>
    </w:r>
  </w:p>
  <w:p w14:paraId="3A4CFE65">
    <w:pPr>
      <w:pStyle w:val="6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U4MTQwNmYyYmFhNDBhMmVlMmVhYjkxZTY5NTFlNjAifQ=="/>
  </w:docVars>
  <w:rsids>
    <w:rsidRoot w:val="6A0E5BD8"/>
    <w:rsid w:val="00B442DE"/>
    <w:rsid w:val="02C16911"/>
    <w:rsid w:val="09F14739"/>
    <w:rsid w:val="0B7F09E9"/>
    <w:rsid w:val="105A4668"/>
    <w:rsid w:val="174C0412"/>
    <w:rsid w:val="183A07EC"/>
    <w:rsid w:val="19F142E2"/>
    <w:rsid w:val="224C47AB"/>
    <w:rsid w:val="2B503C61"/>
    <w:rsid w:val="2D0C0ED6"/>
    <w:rsid w:val="2D874EDD"/>
    <w:rsid w:val="2FB30FFA"/>
    <w:rsid w:val="2FE92628"/>
    <w:rsid w:val="39820C37"/>
    <w:rsid w:val="3F4435C2"/>
    <w:rsid w:val="4A1D7ECA"/>
    <w:rsid w:val="4A8C4C16"/>
    <w:rsid w:val="4BC4579C"/>
    <w:rsid w:val="507F05B9"/>
    <w:rsid w:val="51915E5E"/>
    <w:rsid w:val="538C23AA"/>
    <w:rsid w:val="58A87058"/>
    <w:rsid w:val="5CFA6097"/>
    <w:rsid w:val="5D4B4B51"/>
    <w:rsid w:val="5FAE39F0"/>
    <w:rsid w:val="605B5620"/>
    <w:rsid w:val="60D25253"/>
    <w:rsid w:val="60FE5370"/>
    <w:rsid w:val="69CF7642"/>
    <w:rsid w:val="6A0E5BD8"/>
    <w:rsid w:val="6BE47412"/>
    <w:rsid w:val="72CC2EFE"/>
    <w:rsid w:val="73913883"/>
    <w:rsid w:val="73D716C1"/>
    <w:rsid w:val="766007BE"/>
    <w:rsid w:val="7A77295E"/>
    <w:rsid w:val="F7557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qFormat="1" w:uiPriority="39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widowControl/>
      <w:spacing w:before="100" w:beforeAutospacing="1" w:after="100" w:afterAutospacing="1"/>
      <w:jc w:val="left"/>
      <w:outlineLvl w:val="0"/>
    </w:pPr>
    <w:rPr>
      <w:rFonts w:ascii="宋体" w:hAnsi="宋体" w:eastAsia="宋体" w:cs="宋体"/>
      <w:b/>
      <w:bCs/>
      <w:kern w:val="36"/>
      <w:sz w:val="48"/>
      <w:szCs w:val="48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13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iPriority w:val="0"/>
    <w:pPr>
      <w:ind w:left="840" w:leftChars="400"/>
    </w:pPr>
  </w:style>
  <w:style w:type="paragraph" w:styleId="6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unhideWhenUsed/>
    <w:qFormat/>
    <w:uiPriority w:val="39"/>
  </w:style>
  <w:style w:type="paragraph" w:styleId="9">
    <w:name w:val="toc 2"/>
    <w:basedOn w:val="1"/>
    <w:next w:val="1"/>
    <w:semiHidden/>
    <w:unhideWhenUsed/>
    <w:qFormat/>
    <w:uiPriority w:val="39"/>
    <w:pPr>
      <w:ind w:left="420" w:leftChars="200"/>
    </w:pPr>
  </w:style>
  <w:style w:type="paragraph" w:styleId="10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12">
    <w:name w:val="Table Grid"/>
    <w:basedOn w:val="11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4">
    <w:name w:val="Strong"/>
    <w:basedOn w:val="13"/>
    <w:qFormat/>
    <w:uiPriority w:val="22"/>
    <w:rPr>
      <w:b/>
      <w:bCs/>
    </w:rPr>
  </w:style>
  <w:style w:type="character" w:styleId="15">
    <w:name w:val="Hyperlink"/>
    <w:basedOn w:val="13"/>
    <w:unhideWhenUsed/>
    <w:qFormat/>
    <w:uiPriority w:val="99"/>
    <w:rPr>
      <w:color w:val="0000FF"/>
      <w:u w:val="single"/>
    </w:rPr>
  </w:style>
  <w:style w:type="paragraph" w:customStyle="1" w:styleId="16">
    <w:name w:val="TOC Heading"/>
    <w:basedOn w:val="2"/>
    <w:next w:val="1"/>
    <w:unhideWhenUsed/>
    <w:qFormat/>
    <w:uiPriority w:val="39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E54A1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31.png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footer" Target="foot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27</Pages>
  <Words>2941</Words>
  <Characters>3362</Characters>
  <Lines>0</Lines>
  <Paragraphs>0</Paragraphs>
  <TotalTime>1</TotalTime>
  <ScaleCrop>false</ScaleCrop>
  <LinksUpToDate>false</LinksUpToDate>
  <CharactersWithSpaces>3479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2024-06-07T13:18:00Z</dcterms:created>
  <dc:creator>Jim</dc:creator>
  <cp:lastModifiedBy>WPS_1665158381</cp:lastModifiedBy>
  <dcterms:modified xsi:type="dcterms:W3CDTF">2026-04-10T11:16:19Z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1BF3D673F0AE4ADD9AA9B79EE84D1C7A_13</vt:lpwstr>
  </property>
  <property fmtid="{D5CDD505-2E9C-101B-9397-08002B2CF9AE}" pid="4" name="KSOTemplateDocerSaveRecord">
    <vt:lpwstr>eyJoZGlkIjoiNTM3MzVjZmMzZDYzNjQyMWFjNTBmMzhkZDU4OWM4OTciLCJ1c2VySWQiOiIxNDE2NjM3MTY5In0=</vt:lpwstr>
  </property>
</Properties>
</file>