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E11332">
      <w:pPr>
        <w:spacing w:line="300" w:lineRule="auto"/>
        <w:jc w:val="center"/>
      </w:pPr>
      <w:bookmarkStart w:id="0" w:name="OLE_LINK2"/>
      <w:bookmarkStart w:id="1" w:name="OLE_LINK1"/>
    </w:p>
    <w:p w14:paraId="65E11333">
      <w:pPr>
        <w:spacing w:line="300" w:lineRule="auto"/>
      </w:pPr>
    </w:p>
    <w:p w14:paraId="65E11334">
      <w:pPr>
        <w:spacing w:line="300" w:lineRule="auto"/>
        <w:jc w:val="center"/>
      </w:pPr>
      <w:r>
        <w:drawing>
          <wp:inline distT="0" distB="0" distL="0" distR="0">
            <wp:extent cx="3640455" cy="6540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3640455" cy="654050"/>
                    </a:xfrm>
                    <a:prstGeom prst="rect">
                      <a:avLst/>
                    </a:prstGeom>
                    <a:noFill/>
                    <a:ln>
                      <a:noFill/>
                    </a:ln>
                  </pic:spPr>
                </pic:pic>
              </a:graphicData>
            </a:graphic>
          </wp:inline>
        </w:drawing>
      </w:r>
      <w:bookmarkEnd w:id="0"/>
      <w:bookmarkEnd w:id="1"/>
    </w:p>
    <w:p w14:paraId="65E11335">
      <w:pPr>
        <w:spacing w:line="300" w:lineRule="auto"/>
        <w:jc w:val="center"/>
        <w:rPr>
          <w:rFonts w:ascii="黑体" w:hAnsi="宋体" w:eastAsia="黑体"/>
          <w:bCs/>
          <w:sz w:val="13"/>
          <w:szCs w:val="13"/>
        </w:rPr>
      </w:pPr>
    </w:p>
    <w:p w14:paraId="65E11336">
      <w:pPr>
        <w:spacing w:line="300" w:lineRule="auto"/>
        <w:jc w:val="center"/>
        <w:rPr>
          <w:rFonts w:ascii="黑体" w:hAnsi="宋体" w:eastAsia="黑体"/>
          <w:bCs/>
          <w:sz w:val="52"/>
          <w:szCs w:val="52"/>
        </w:rPr>
      </w:pPr>
      <w:r>
        <w:rPr>
          <w:rFonts w:hint="eastAsia" w:ascii="黑体" w:hAnsi="宋体" w:eastAsia="黑体"/>
          <w:bCs/>
          <w:sz w:val="52"/>
          <w:szCs w:val="52"/>
        </w:rPr>
        <w:t>金融贸易学院</w:t>
      </w:r>
    </w:p>
    <w:p w14:paraId="65E11337">
      <w:pPr>
        <w:spacing w:line="300" w:lineRule="auto"/>
        <w:jc w:val="center"/>
        <w:rPr>
          <w:rFonts w:ascii="黑体" w:hAnsi="宋体" w:eastAsia="黑体"/>
          <w:bCs/>
          <w:sz w:val="52"/>
          <w:szCs w:val="52"/>
        </w:rPr>
      </w:pPr>
      <w:r>
        <w:rPr>
          <w:rFonts w:hint="eastAsia" w:ascii="黑体" w:hAnsi="宋体" w:eastAsia="黑体"/>
          <w:bCs/>
          <w:sz w:val="52"/>
          <w:szCs w:val="52"/>
        </w:rPr>
        <w:t>实验（实训）报告</w:t>
      </w:r>
    </w:p>
    <w:p w14:paraId="65E11338">
      <w:pPr>
        <w:spacing w:line="300" w:lineRule="auto"/>
        <w:jc w:val="center"/>
        <w:rPr>
          <w:rFonts w:ascii="宋体" w:hAnsi="宋体"/>
          <w:sz w:val="32"/>
          <w:szCs w:val="32"/>
        </w:rPr>
      </w:pPr>
      <w:r>
        <w:rPr>
          <w:rFonts w:hint="eastAsia" w:ascii="黑体" w:hAnsi="宋体" w:eastAsia="黑体"/>
          <w:sz w:val="36"/>
          <w:szCs w:val="36"/>
        </w:rPr>
        <mc:AlternateContent>
          <mc:Choice Requires="wps">
            <w:drawing>
              <wp:anchor distT="0" distB="0" distL="114300" distR="114300" simplePos="0" relativeHeight="251660288" behindDoc="0" locked="0" layoutInCell="1" allowOverlap="1">
                <wp:simplePos x="0" y="0"/>
                <wp:positionH relativeFrom="column">
                  <wp:posOffset>4673600</wp:posOffset>
                </wp:positionH>
                <wp:positionV relativeFrom="paragraph">
                  <wp:posOffset>966470</wp:posOffset>
                </wp:positionV>
                <wp:extent cx="1188085" cy="541020"/>
                <wp:effectExtent l="594360" t="4445" r="8255" b="464185"/>
                <wp:wrapNone/>
                <wp:docPr id="4" name="矩形标注 4"/>
                <wp:cNvGraphicFramePr/>
                <a:graphic xmlns:a="http://schemas.openxmlformats.org/drawingml/2006/main">
                  <a:graphicData uri="http://schemas.microsoft.com/office/word/2010/wordprocessingShape">
                    <wps:wsp>
                      <wps:cNvSpPr/>
                      <wps:spPr>
                        <a:xfrm>
                          <a:off x="0" y="0"/>
                          <a:ext cx="1188085" cy="541020"/>
                        </a:xfrm>
                        <a:prstGeom prst="wedgeRectCallout">
                          <a:avLst>
                            <a:gd name="adj1" fmla="val -97083"/>
                            <a:gd name="adj2" fmla="val 131338"/>
                          </a:avLst>
                        </a:prstGeom>
                        <a:solidFill>
                          <a:srgbClr val="FFFFFF"/>
                        </a:solidFill>
                        <a:ln w="9525" cap="flat" cmpd="sng">
                          <a:solidFill>
                            <a:srgbClr val="000000"/>
                          </a:solidFill>
                          <a:prstDash val="solid"/>
                          <a:miter/>
                          <a:headEnd type="none" w="med" len="med"/>
                          <a:tailEnd type="none" w="med" len="med"/>
                        </a:ln>
                      </wps:spPr>
                      <wps:txbx>
                        <w:txbxContent>
                          <w:p w14:paraId="65E1147B">
                            <w:pPr>
                              <w:rPr>
                                <w:b/>
                                <w:bCs/>
                                <w:color w:val="FF0000"/>
                              </w:rPr>
                            </w:pPr>
                            <w:r>
                              <w:rPr>
                                <w:rFonts w:hint="eastAsia"/>
                                <w:b/>
                                <w:bCs/>
                                <w:color w:val="FF0000"/>
                              </w:rPr>
                              <w:t>专业名用全称</w:t>
                            </w:r>
                          </w:p>
                          <w:p w14:paraId="65E1147C">
                            <w:pPr>
                              <w:rPr>
                                <w:color w:val="FF0000"/>
                              </w:rPr>
                            </w:pPr>
                          </w:p>
                        </w:txbxContent>
                      </wps:txbx>
                      <wps:bodyPr upright="1"/>
                    </wps:wsp>
                  </a:graphicData>
                </a:graphic>
              </wp:anchor>
            </w:drawing>
          </mc:Choice>
          <mc:Fallback>
            <w:pict>
              <v:shape id="_x0000_s1026" o:spid="_x0000_s1026" o:spt="61" type="#_x0000_t61" style="position:absolute;left:0pt;margin-left:368pt;margin-top:76.1pt;height:42.6pt;width:93.55pt;z-index:251660288;mso-width-relative:page;mso-height-relative:page;" fillcolor="#FFFFFF" filled="t" stroked="t" coordsize="21600,21600" o:gfxdata="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4yGzLaAAAACwEAAA8AAAAAAAAAAQAgAAAAIgAAAGRycy9k&#10;b3ducmV2LnhtbFBLAQIUABQAAAAIAIdO4kAXFs4ROQIAAI4EAAAOAAAAAAAAAAEAIAAAACkBAABk&#10;cnMvZTJvRG9jLnhtbFBLBQYAAAAABgAGAFkBAADUBQAAAAA=&#10;" adj="-10170,39169">
                <v:fill on="t" focussize="0,0"/>
                <v:stroke color="#000000" joinstyle="miter"/>
                <v:imagedata o:title=""/>
                <o:lock v:ext="edit" aspectratio="f"/>
                <v:textbox>
                  <w:txbxContent>
                    <w:p w14:paraId="65E1147B">
                      <w:pPr>
                        <w:rPr>
                          <w:b/>
                          <w:bCs/>
                          <w:color w:val="FF0000"/>
                        </w:rPr>
                      </w:pPr>
                      <w:r>
                        <w:rPr>
                          <w:rFonts w:hint="eastAsia"/>
                          <w:b/>
                          <w:bCs/>
                          <w:color w:val="FF0000"/>
                        </w:rPr>
                        <w:t>专业名用全称</w:t>
                      </w:r>
                    </w:p>
                    <w:p w14:paraId="65E1147C">
                      <w:pPr>
                        <w:rPr>
                          <w:color w:val="FF0000"/>
                        </w:rPr>
                      </w:pPr>
                    </w:p>
                  </w:txbxContent>
                </v:textbox>
              </v:shape>
            </w:pict>
          </mc:Fallback>
        </mc:AlternateContent>
      </w:r>
      <w:r>
        <w:rPr>
          <w:rFonts w:hint="eastAsia" w:ascii="宋体" w:hAnsi="宋体"/>
          <w:sz w:val="32"/>
          <w:szCs w:val="32"/>
        </w:rPr>
        <w:drawing>
          <wp:inline distT="0" distB="0" distL="0" distR="0">
            <wp:extent cx="1446530" cy="1446530"/>
            <wp:effectExtent l="0" t="0" r="127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446530" cy="1446530"/>
                    </a:xfrm>
                    <a:prstGeom prst="rect">
                      <a:avLst/>
                    </a:prstGeom>
                    <a:noFill/>
                    <a:ln>
                      <a:noFill/>
                    </a:ln>
                  </pic:spPr>
                </pic:pic>
              </a:graphicData>
            </a:graphic>
          </wp:inline>
        </w:drawing>
      </w:r>
    </w:p>
    <w:tbl>
      <w:tblPr>
        <w:tblStyle w:val="6"/>
        <w:tblW w:w="0" w:type="auto"/>
        <w:tblInd w:w="658" w:type="dxa"/>
        <w:tblLayout w:type="fixed"/>
        <w:tblCellMar>
          <w:top w:w="0" w:type="dxa"/>
          <w:left w:w="108" w:type="dxa"/>
          <w:bottom w:w="0" w:type="dxa"/>
          <w:right w:w="108" w:type="dxa"/>
        </w:tblCellMar>
      </w:tblPr>
      <w:tblGrid>
        <w:gridCol w:w="1718"/>
        <w:gridCol w:w="5286"/>
      </w:tblGrid>
      <w:tr w14:paraId="65E1133B">
        <w:tblPrEx>
          <w:tblCellMar>
            <w:top w:w="0" w:type="dxa"/>
            <w:left w:w="108" w:type="dxa"/>
            <w:bottom w:w="0" w:type="dxa"/>
            <w:right w:w="108" w:type="dxa"/>
          </w:tblCellMar>
        </w:tblPrEx>
        <w:trPr>
          <w:trHeight w:val="788" w:hRule="atLeast"/>
        </w:trPr>
        <w:tc>
          <w:tcPr>
            <w:tcW w:w="1718" w:type="dxa"/>
            <w:tcBorders>
              <w:right w:val="nil"/>
            </w:tcBorders>
            <w:vAlign w:val="bottom"/>
          </w:tcPr>
          <w:p w14:paraId="65E11339">
            <w:pPr>
              <w:spacing w:line="300" w:lineRule="auto"/>
              <w:jc w:val="center"/>
              <w:rPr>
                <w:rFonts w:ascii="宋体" w:hAnsi="宋体" w:cs="宋体"/>
                <w:b/>
                <w:bCs/>
                <w:sz w:val="30"/>
                <w:szCs w:val="30"/>
              </w:rPr>
            </w:pPr>
            <w:r>
              <w:rPr>
                <w:rFonts w:hint="eastAsia" w:ascii="宋体" w:hAnsi="宋体" w:cs="宋体"/>
                <w:b/>
                <w:bCs/>
                <w:sz w:val="30"/>
                <w:szCs w:val="30"/>
              </w:rPr>
              <w:t>专    业:</w:t>
            </w:r>
          </w:p>
        </w:tc>
        <w:tc>
          <w:tcPr>
            <w:tcW w:w="5286" w:type="dxa"/>
            <w:tcBorders>
              <w:top w:val="nil"/>
              <w:left w:val="nil"/>
              <w:bottom w:val="single" w:color="auto" w:sz="4" w:space="0"/>
              <w:right w:val="nil"/>
            </w:tcBorders>
            <w:vAlign w:val="center"/>
          </w:tcPr>
          <w:p w14:paraId="65E1133A">
            <w:pPr>
              <w:spacing w:line="300" w:lineRule="auto"/>
              <w:jc w:val="center"/>
              <w:rPr>
                <w:sz w:val="32"/>
                <w:szCs w:val="32"/>
              </w:rPr>
            </w:pPr>
            <w:r>
              <w:rPr>
                <w:rFonts w:hint="eastAsia" w:ascii="黑体" w:hAnsi="宋体" w:eastAsia="黑体"/>
                <w:sz w:val="36"/>
                <w:szCs w:val="36"/>
              </w:rPr>
              <mc:AlternateContent>
                <mc:Choice Requires="wps">
                  <w:drawing>
                    <wp:anchor distT="0" distB="0" distL="114300" distR="114300" simplePos="0" relativeHeight="251659264" behindDoc="0" locked="0" layoutInCell="1" allowOverlap="1">
                      <wp:simplePos x="0" y="0"/>
                      <wp:positionH relativeFrom="column">
                        <wp:posOffset>6162040</wp:posOffset>
                      </wp:positionH>
                      <wp:positionV relativeFrom="paragraph">
                        <wp:posOffset>5352415</wp:posOffset>
                      </wp:positionV>
                      <wp:extent cx="914400" cy="541020"/>
                      <wp:effectExtent l="463550" t="4445" r="12700" b="464185"/>
                      <wp:wrapNone/>
                      <wp:docPr id="2" name="矩形标注 2"/>
                      <wp:cNvGraphicFramePr/>
                      <a:graphic xmlns:a="http://schemas.openxmlformats.org/drawingml/2006/main">
                        <a:graphicData uri="http://schemas.microsoft.com/office/word/2010/wordprocessingShape">
                          <wps:wsp>
                            <wps:cNvSpPr/>
                            <wps:spPr>
                              <a:xfrm>
                                <a:off x="0" y="0"/>
                                <a:ext cx="914400" cy="541020"/>
                              </a:xfrm>
                              <a:prstGeom prst="wedgeRectCallout">
                                <a:avLst>
                                  <a:gd name="adj1" fmla="val -97083"/>
                                  <a:gd name="adj2" fmla="val 131338"/>
                                </a:avLst>
                              </a:prstGeom>
                              <a:solidFill>
                                <a:srgbClr val="FFFFFF"/>
                              </a:solidFill>
                              <a:ln w="9525" cap="flat" cmpd="sng">
                                <a:solidFill>
                                  <a:srgbClr val="000000"/>
                                </a:solidFill>
                                <a:prstDash val="solid"/>
                                <a:miter/>
                                <a:headEnd type="none" w="med" len="med"/>
                                <a:tailEnd type="none" w="med" len="med"/>
                              </a:ln>
                            </wps:spPr>
                            <wps:txbx>
                              <w:txbxContent>
                                <w:p w14:paraId="65E1147D">
                                  <w:pPr>
                                    <w:rPr>
                                      <w:b/>
                                      <w:bCs/>
                                      <w:color w:val="FF0000"/>
                                    </w:rPr>
                                  </w:pPr>
                                  <w:r>
                                    <w:rPr>
                                      <w:rFonts w:hint="eastAsia"/>
                                      <w:b/>
                                      <w:bCs/>
                                      <w:color w:val="FF0000"/>
                                    </w:rPr>
                                    <w:t>专业名用全称</w:t>
                                  </w:r>
                                </w:p>
                                <w:p w14:paraId="65E1147E">
                                  <w:pPr>
                                    <w:rPr>
                                      <w:color w:val="FF0000"/>
                                    </w:rPr>
                                  </w:pPr>
                                </w:p>
                              </w:txbxContent>
                            </wps:txbx>
                            <wps:bodyPr upright="1"/>
                          </wps:wsp>
                        </a:graphicData>
                      </a:graphic>
                    </wp:anchor>
                  </w:drawing>
                </mc:Choice>
                <mc:Fallback>
                  <w:pict>
                    <v:shape id="_x0000_s1026" o:spid="_x0000_s1026" o:spt="61" type="#_x0000_t61" style="position:absolute;left:0pt;margin-left:485.2pt;margin-top:421.45pt;height:42.6pt;width:72pt;z-index:251659264;mso-width-relative:page;mso-height-relative:page;" fillcolor="#FFFFFF" filled="t" stroked="t" coordsize="21600,21600" o:gfxdata="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sNX1wtoAAAAMAQAADwAAAAAAAAABACAAAAAiAAAAZHJzL2Rv&#10;d25yZXYueG1sUEsBAhQAFAAAAAgAh07iQIznL2A4AgAAjQQAAA4AAAAAAAAAAQAgAAAAKQEAAGRy&#10;cy9lMm9Eb2MueG1sUEsFBgAAAAAGAAYAWQEAANMFAAAAAA==&#10;" adj="-10170,39169">
                      <v:fill on="t" focussize="0,0"/>
                      <v:stroke color="#000000" joinstyle="miter"/>
                      <v:imagedata o:title=""/>
                      <o:lock v:ext="edit" aspectratio="f"/>
                      <v:textbox>
                        <w:txbxContent>
                          <w:p w14:paraId="65E1147D">
                            <w:pPr>
                              <w:rPr>
                                <w:b/>
                                <w:bCs/>
                                <w:color w:val="FF0000"/>
                              </w:rPr>
                            </w:pPr>
                            <w:r>
                              <w:rPr>
                                <w:rFonts w:hint="eastAsia"/>
                                <w:b/>
                                <w:bCs/>
                                <w:color w:val="FF0000"/>
                              </w:rPr>
                              <w:t>专业名用全称</w:t>
                            </w:r>
                          </w:p>
                          <w:p w14:paraId="65E1147E">
                            <w:pPr>
                              <w:rPr>
                                <w:color w:val="FF0000"/>
                              </w:rPr>
                            </w:pPr>
                          </w:p>
                        </w:txbxContent>
                      </v:textbox>
                    </v:shape>
                  </w:pict>
                </mc:Fallback>
              </mc:AlternateContent>
            </w:r>
            <w:r>
              <w:rPr>
                <w:rFonts w:hint="eastAsia"/>
                <w:sz w:val="32"/>
                <w:szCs w:val="32"/>
              </w:rPr>
              <w:t>金融学</w:t>
            </w:r>
          </w:p>
        </w:tc>
      </w:tr>
      <w:tr w14:paraId="65E1133E">
        <w:tblPrEx>
          <w:tblCellMar>
            <w:top w:w="0" w:type="dxa"/>
            <w:left w:w="108" w:type="dxa"/>
            <w:bottom w:w="0" w:type="dxa"/>
            <w:right w:w="108" w:type="dxa"/>
          </w:tblCellMar>
        </w:tblPrEx>
        <w:trPr>
          <w:trHeight w:val="788" w:hRule="atLeast"/>
        </w:trPr>
        <w:tc>
          <w:tcPr>
            <w:tcW w:w="1718" w:type="dxa"/>
            <w:vAlign w:val="bottom"/>
          </w:tcPr>
          <w:p w14:paraId="65E1133C">
            <w:pPr>
              <w:spacing w:line="300" w:lineRule="auto"/>
              <w:jc w:val="center"/>
              <w:rPr>
                <w:rFonts w:ascii="宋体" w:hAnsi="宋体" w:cs="宋体"/>
                <w:b/>
                <w:bCs/>
                <w:sz w:val="30"/>
                <w:szCs w:val="30"/>
              </w:rPr>
            </w:pPr>
            <w:r>
              <w:rPr>
                <w:rFonts w:hint="eastAsia" w:ascii="宋体" w:hAnsi="宋体" w:cs="宋体"/>
                <w:b/>
                <w:bCs/>
                <w:sz w:val="30"/>
                <w:szCs w:val="30"/>
              </w:rPr>
              <w:t>课程名称:</w:t>
            </w:r>
          </w:p>
        </w:tc>
        <w:tc>
          <w:tcPr>
            <w:tcW w:w="5286" w:type="dxa"/>
            <w:tcBorders>
              <w:top w:val="single" w:color="auto" w:sz="4" w:space="0"/>
              <w:bottom w:val="single" w:color="auto" w:sz="4" w:space="0"/>
            </w:tcBorders>
            <w:vAlign w:val="center"/>
          </w:tcPr>
          <w:p w14:paraId="65E1133D">
            <w:pPr>
              <w:spacing w:line="300" w:lineRule="auto"/>
              <w:jc w:val="center"/>
              <w:rPr>
                <w:sz w:val="32"/>
                <w:szCs w:val="32"/>
              </w:rPr>
            </w:pPr>
            <w:r>
              <w:rPr>
                <w:sz w:val="32"/>
                <w:szCs w:val="32"/>
              </w:rPr>
              <mc:AlternateContent>
                <mc:Choice Requires="wps">
                  <w:drawing>
                    <wp:anchor distT="0" distB="0" distL="114300" distR="114300" simplePos="0" relativeHeight="251661312" behindDoc="0" locked="0" layoutInCell="1" allowOverlap="1">
                      <wp:simplePos x="0" y="0"/>
                      <wp:positionH relativeFrom="column">
                        <wp:posOffset>3646805</wp:posOffset>
                      </wp:positionH>
                      <wp:positionV relativeFrom="paragraph">
                        <wp:posOffset>398145</wp:posOffset>
                      </wp:positionV>
                      <wp:extent cx="914400" cy="685800"/>
                      <wp:effectExtent l="802005" t="4445" r="17145" b="14605"/>
                      <wp:wrapNone/>
                      <wp:docPr id="5" name="矩形标注 5"/>
                      <wp:cNvGraphicFramePr/>
                      <a:graphic xmlns:a="http://schemas.openxmlformats.org/drawingml/2006/main">
                        <a:graphicData uri="http://schemas.microsoft.com/office/word/2010/wordprocessingShape">
                          <wps:wsp>
                            <wps:cNvSpPr/>
                            <wps:spPr>
                              <a:xfrm>
                                <a:off x="0" y="0"/>
                                <a:ext cx="914400" cy="685800"/>
                              </a:xfrm>
                              <a:prstGeom prst="wedgeRectCallout">
                                <a:avLst>
                                  <a:gd name="adj1" fmla="val -133542"/>
                                  <a:gd name="adj2" fmla="val 8611"/>
                                </a:avLst>
                              </a:prstGeom>
                              <a:solidFill>
                                <a:srgbClr val="FFFFFF"/>
                              </a:solidFill>
                              <a:ln w="9525" cap="flat" cmpd="sng">
                                <a:solidFill>
                                  <a:srgbClr val="000000"/>
                                </a:solidFill>
                                <a:prstDash val="solid"/>
                                <a:miter/>
                                <a:headEnd type="none" w="med" len="med"/>
                                <a:tailEnd type="none" w="med" len="med"/>
                              </a:ln>
                            </wps:spPr>
                            <wps:txbx>
                              <w:txbxContent>
                                <w:p w14:paraId="65E1147F">
                                  <w:pPr>
                                    <w:rPr>
                                      <w:b/>
                                      <w:bCs/>
                                      <w:color w:val="FF0000"/>
                                    </w:rPr>
                                  </w:pPr>
                                  <w:r>
                                    <w:rPr>
                                      <w:rFonts w:hint="eastAsia"/>
                                      <w:b/>
                                      <w:bCs/>
                                      <w:color w:val="FF0000"/>
                                    </w:rPr>
                                    <w:t>班级名用全称，数字用阿拉伯数字</w:t>
                                  </w:r>
                                </w:p>
                              </w:txbxContent>
                            </wps:txbx>
                            <wps:bodyPr upright="1"/>
                          </wps:wsp>
                        </a:graphicData>
                      </a:graphic>
                    </wp:anchor>
                  </w:drawing>
                </mc:Choice>
                <mc:Fallback>
                  <w:pict>
                    <v:shape id="_x0000_s1026" o:spid="_x0000_s1026" o:spt="61" type="#_x0000_t61" style="position:absolute;left:0pt;margin-left:287.15pt;margin-top:31.35pt;height:54pt;width:72pt;z-index:251661312;mso-width-relative:page;mso-height-relative:page;" fillcolor="#FFFFFF" filled="t" stroked="t" coordsize="21600,21600" o:gfxdata="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NniTH2QAAAAoBAAAPAAAAAAAAAAEAIAAAACIAAABkcnMvZG93bnJl&#10;di54bWxQSwECFAAUAAAACACHTuJAP7zGvDUCAACMBAAADgAAAAAAAAABACAAAAAoAQAAZHJzL2Uy&#10;b0RvYy54bWxQSwUGAAAAAAYABgBZAQAAzwUAAAAA&#10;" adj="-18045,12660">
                      <v:fill on="t" focussize="0,0"/>
                      <v:stroke color="#000000" joinstyle="miter"/>
                      <v:imagedata o:title=""/>
                      <o:lock v:ext="edit" aspectratio="f"/>
                      <v:textbox>
                        <w:txbxContent>
                          <w:p w14:paraId="65E1147F">
                            <w:pPr>
                              <w:rPr>
                                <w:b/>
                                <w:bCs/>
                                <w:color w:val="FF0000"/>
                              </w:rPr>
                            </w:pPr>
                            <w:r>
                              <w:rPr>
                                <w:rFonts w:hint="eastAsia"/>
                                <w:b/>
                                <w:bCs/>
                                <w:color w:val="FF0000"/>
                              </w:rPr>
                              <w:t>班级名用全称，数字用阿拉伯数字</w:t>
                            </w:r>
                          </w:p>
                        </w:txbxContent>
                      </v:textbox>
                    </v:shape>
                  </w:pict>
                </mc:Fallback>
              </mc:AlternateContent>
            </w:r>
            <w:r>
              <w:rPr>
                <w:rFonts w:hint="eastAsia"/>
                <w:sz w:val="32"/>
                <w:szCs w:val="32"/>
              </w:rPr>
              <w:t>经济学Python应用</w:t>
            </w:r>
          </w:p>
        </w:tc>
      </w:tr>
      <w:tr w14:paraId="65E11341">
        <w:tblPrEx>
          <w:tblCellMar>
            <w:top w:w="0" w:type="dxa"/>
            <w:left w:w="108" w:type="dxa"/>
            <w:bottom w:w="0" w:type="dxa"/>
            <w:right w:w="108" w:type="dxa"/>
          </w:tblCellMar>
        </w:tblPrEx>
        <w:trPr>
          <w:trHeight w:val="788" w:hRule="atLeast"/>
        </w:trPr>
        <w:tc>
          <w:tcPr>
            <w:tcW w:w="1718" w:type="dxa"/>
            <w:vAlign w:val="bottom"/>
          </w:tcPr>
          <w:p w14:paraId="65E1133F">
            <w:pPr>
              <w:spacing w:line="300" w:lineRule="auto"/>
              <w:jc w:val="center"/>
              <w:rPr>
                <w:rFonts w:ascii="宋体" w:hAnsi="宋体" w:cs="宋体"/>
                <w:b/>
                <w:bCs/>
                <w:sz w:val="30"/>
                <w:szCs w:val="30"/>
              </w:rPr>
            </w:pPr>
            <w:r>
              <w:rPr>
                <w:rFonts w:hint="eastAsia" w:ascii="宋体" w:hAnsi="宋体" w:cs="宋体"/>
                <w:b/>
                <w:bCs/>
                <w:sz w:val="30"/>
                <w:szCs w:val="30"/>
              </w:rPr>
              <w:t>班    级:</w:t>
            </w:r>
          </w:p>
        </w:tc>
        <w:tc>
          <w:tcPr>
            <w:tcW w:w="5286" w:type="dxa"/>
            <w:tcBorders>
              <w:top w:val="single" w:color="auto" w:sz="4" w:space="0"/>
              <w:bottom w:val="single" w:color="auto" w:sz="4" w:space="0"/>
            </w:tcBorders>
            <w:vAlign w:val="center"/>
          </w:tcPr>
          <w:p w14:paraId="65E11340">
            <w:pPr>
              <w:spacing w:line="300" w:lineRule="auto"/>
              <w:jc w:val="center"/>
              <w:rPr>
                <w:sz w:val="32"/>
                <w:szCs w:val="32"/>
              </w:rPr>
            </w:pPr>
            <w:r>
              <w:rPr>
                <w:rFonts w:hint="eastAsia"/>
                <w:sz w:val="32"/>
                <w:szCs w:val="32"/>
              </w:rPr>
              <w:t>24金融学本*</w:t>
            </w:r>
          </w:p>
        </w:tc>
      </w:tr>
      <w:tr w14:paraId="65E11344">
        <w:tblPrEx>
          <w:tblCellMar>
            <w:top w:w="0" w:type="dxa"/>
            <w:left w:w="108" w:type="dxa"/>
            <w:bottom w:w="0" w:type="dxa"/>
            <w:right w:w="108" w:type="dxa"/>
          </w:tblCellMar>
        </w:tblPrEx>
        <w:trPr>
          <w:trHeight w:val="788" w:hRule="atLeast"/>
        </w:trPr>
        <w:tc>
          <w:tcPr>
            <w:tcW w:w="1718" w:type="dxa"/>
            <w:vAlign w:val="bottom"/>
          </w:tcPr>
          <w:p w14:paraId="65E11342">
            <w:pPr>
              <w:spacing w:line="300" w:lineRule="auto"/>
              <w:jc w:val="center"/>
              <w:rPr>
                <w:rFonts w:ascii="宋体" w:hAnsi="宋体" w:cs="宋体"/>
                <w:b/>
                <w:bCs/>
                <w:sz w:val="30"/>
                <w:szCs w:val="30"/>
              </w:rPr>
            </w:pPr>
            <w:r>
              <w:rPr>
                <w:rFonts w:hint="eastAsia" w:ascii="宋体" w:hAnsi="宋体" w:cs="宋体"/>
                <w:b/>
                <w:bCs/>
                <w:sz w:val="30"/>
                <w:szCs w:val="30"/>
              </w:rPr>
              <w:t>姓    名:</w:t>
            </w:r>
          </w:p>
        </w:tc>
        <w:tc>
          <w:tcPr>
            <w:tcW w:w="5286" w:type="dxa"/>
            <w:tcBorders>
              <w:top w:val="single" w:color="auto" w:sz="4" w:space="0"/>
              <w:bottom w:val="single" w:color="auto" w:sz="4" w:space="0"/>
            </w:tcBorders>
            <w:vAlign w:val="center"/>
          </w:tcPr>
          <w:p w14:paraId="65E11343">
            <w:pPr>
              <w:spacing w:line="300" w:lineRule="auto"/>
              <w:jc w:val="center"/>
              <w:rPr>
                <w:sz w:val="32"/>
                <w:szCs w:val="32"/>
              </w:rPr>
            </w:pPr>
            <w:r>
              <w:rPr>
                <w:rFonts w:ascii="Times New Roman" w:hAnsi="Times New Roman" w:eastAsia="宋体"/>
                <w:b w:val="0"/>
                <w:sz w:val="32"/>
              </w:rPr>
              <w:t>崔子龙</w:t>
            </w:r>
          </w:p>
        </w:tc>
      </w:tr>
      <w:tr w14:paraId="65E11347">
        <w:tblPrEx>
          <w:tblCellMar>
            <w:top w:w="0" w:type="dxa"/>
            <w:left w:w="108" w:type="dxa"/>
            <w:bottom w:w="0" w:type="dxa"/>
            <w:right w:w="108" w:type="dxa"/>
          </w:tblCellMar>
        </w:tblPrEx>
        <w:trPr>
          <w:trHeight w:val="788" w:hRule="atLeast"/>
        </w:trPr>
        <w:tc>
          <w:tcPr>
            <w:tcW w:w="1718" w:type="dxa"/>
            <w:vAlign w:val="bottom"/>
          </w:tcPr>
          <w:p w14:paraId="65E11345">
            <w:pPr>
              <w:spacing w:line="300" w:lineRule="auto"/>
              <w:jc w:val="center"/>
              <w:rPr>
                <w:rFonts w:ascii="宋体" w:hAnsi="宋体" w:cs="宋体"/>
                <w:b/>
                <w:bCs/>
                <w:sz w:val="30"/>
                <w:szCs w:val="30"/>
              </w:rPr>
            </w:pPr>
            <w:r>
              <w:rPr>
                <w:sz w:val="36"/>
                <w:szCs w:val="36"/>
              </w:rPr>
              <mc:AlternateContent>
                <mc:Choice Requires="wps">
                  <w:drawing>
                    <wp:anchor distT="0" distB="0" distL="114300" distR="114300" simplePos="0" relativeHeight="251663360" behindDoc="0" locked="0" layoutInCell="1" allowOverlap="1">
                      <wp:simplePos x="0" y="0"/>
                      <wp:positionH relativeFrom="column">
                        <wp:posOffset>-1132840</wp:posOffset>
                      </wp:positionH>
                      <wp:positionV relativeFrom="paragraph">
                        <wp:posOffset>-40005</wp:posOffset>
                      </wp:positionV>
                      <wp:extent cx="914400" cy="650875"/>
                      <wp:effectExtent l="4445" t="213995" r="2224405" b="11430"/>
                      <wp:wrapNone/>
                      <wp:docPr id="8" name="矩形标注 8"/>
                      <wp:cNvGraphicFramePr/>
                      <a:graphic xmlns:a="http://schemas.openxmlformats.org/drawingml/2006/main">
                        <a:graphicData uri="http://schemas.microsoft.com/office/word/2010/wordprocessingShape">
                          <wps:wsp>
                            <wps:cNvSpPr/>
                            <wps:spPr>
                              <a:xfrm>
                                <a:off x="0" y="0"/>
                                <a:ext cx="914400" cy="650875"/>
                              </a:xfrm>
                              <a:prstGeom prst="wedgeRectCallout">
                                <a:avLst>
                                  <a:gd name="adj1" fmla="val 288958"/>
                                  <a:gd name="adj2" fmla="val -81317"/>
                                </a:avLst>
                              </a:prstGeom>
                              <a:solidFill>
                                <a:srgbClr val="FFFFFF"/>
                              </a:solidFill>
                              <a:ln w="9525" cap="flat" cmpd="sng">
                                <a:solidFill>
                                  <a:srgbClr val="000000"/>
                                </a:solidFill>
                                <a:prstDash val="solid"/>
                                <a:miter/>
                                <a:headEnd type="none" w="med" len="med"/>
                                <a:tailEnd type="none" w="med" len="med"/>
                              </a:ln>
                            </wps:spPr>
                            <wps:txbx>
                              <w:txbxContent>
                                <w:p w14:paraId="65E11482">
                                  <w:pPr>
                                    <w:rPr>
                                      <w:b/>
                                      <w:bCs/>
                                      <w:color w:val="FF0000"/>
                                    </w:rPr>
                                  </w:pPr>
                                  <w:r>
                                    <w:rPr>
                                      <w:rFonts w:ascii="宋体" w:hAnsi="宋体"/>
                                      <w:b/>
                                      <w:bCs/>
                                      <w:color w:val="FF0000"/>
                                    </w:rPr>
                                    <w:t>中文</w:t>
                                  </w:r>
                                  <w:r>
                                    <w:rPr>
                                      <w:rFonts w:hint="eastAsia"/>
                                      <w:b/>
                                      <w:bCs/>
                                      <w:color w:val="FF0000"/>
                                    </w:rPr>
                                    <w:t>宋体</w:t>
                                  </w:r>
                                  <w:r>
                                    <w:rPr>
                                      <w:rFonts w:ascii="宋体" w:hAnsi="宋体"/>
                                      <w:b/>
                                      <w:bCs/>
                                      <w:color w:val="FF0000"/>
                                    </w:rPr>
                                    <w:t>，</w:t>
                                  </w:r>
                                  <w:r>
                                    <w:rPr>
                                      <w:rFonts w:hint="eastAsia"/>
                                      <w:b/>
                                      <w:bCs/>
                                      <w:color w:val="FF0000"/>
                                    </w:rPr>
                                    <w:t>三号、居中</w:t>
                                  </w:r>
                                </w:p>
                                <w:p w14:paraId="65E11483">
                                  <w:pPr>
                                    <w:rPr>
                                      <w:color w:val="FF0000"/>
                                    </w:rPr>
                                  </w:pPr>
                                </w:p>
                              </w:txbxContent>
                            </wps:txbx>
                            <wps:bodyPr upright="1"/>
                          </wps:wsp>
                        </a:graphicData>
                      </a:graphic>
                    </wp:anchor>
                  </w:drawing>
                </mc:Choice>
                <mc:Fallback>
                  <w:pict>
                    <v:shape id="_x0000_s1026" o:spid="_x0000_s1026" o:spt="61" type="#_x0000_t61" style="position:absolute;left:0pt;margin-left:-89.2pt;margin-top:-3.15pt;height:51.25pt;width:72pt;z-index:251663360;mso-width-relative:page;mso-height-relative:page;" fillcolor="#FFFFFF" filled="t" stroked="t" coordsize="21600,21600" o:gfxdata="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OtxXLYAAAACgEAAA8AAAAAAAAAAQAgAAAAIgAAAGRycy9kb3du&#10;cmV2LnhtbFBLAQIUABQAAAAIAIdO4kAWkZotOAIAAI0EAAAOAAAAAAAAAAEAIAAAACcBAABkcnMv&#10;ZTJvRG9jLnhtbFBLBQYAAAAABgAGAFkBAADRBQAAAAA=&#10;" adj="73215,-6764">
                      <v:fill on="t" focussize="0,0"/>
                      <v:stroke color="#000000" joinstyle="miter"/>
                      <v:imagedata o:title=""/>
                      <o:lock v:ext="edit" aspectratio="f"/>
                      <v:textbox>
                        <w:txbxContent>
                          <w:p w14:paraId="65E11482">
                            <w:pPr>
                              <w:rPr>
                                <w:b/>
                                <w:bCs/>
                                <w:color w:val="FF0000"/>
                              </w:rPr>
                            </w:pPr>
                            <w:r>
                              <w:rPr>
                                <w:rFonts w:ascii="宋体" w:hAnsi="宋体"/>
                                <w:b/>
                                <w:bCs/>
                                <w:color w:val="FF0000"/>
                              </w:rPr>
                              <w:t>中文</w:t>
                            </w:r>
                            <w:r>
                              <w:rPr>
                                <w:rFonts w:hint="eastAsia"/>
                                <w:b/>
                                <w:bCs/>
                                <w:color w:val="FF0000"/>
                              </w:rPr>
                              <w:t>宋体</w:t>
                            </w:r>
                            <w:r>
                              <w:rPr>
                                <w:rFonts w:ascii="宋体" w:hAnsi="宋体"/>
                                <w:b/>
                                <w:bCs/>
                                <w:color w:val="FF0000"/>
                              </w:rPr>
                              <w:t>，</w:t>
                            </w:r>
                            <w:r>
                              <w:rPr>
                                <w:rFonts w:hint="eastAsia"/>
                                <w:b/>
                                <w:bCs/>
                                <w:color w:val="FF0000"/>
                              </w:rPr>
                              <w:t>三号、居中</w:t>
                            </w:r>
                          </w:p>
                          <w:p w14:paraId="65E11483">
                            <w:pPr>
                              <w:rPr>
                                <w:color w:val="FF0000"/>
                              </w:rPr>
                            </w:pPr>
                          </w:p>
                        </w:txbxContent>
                      </v:textbox>
                    </v:shape>
                  </w:pict>
                </mc:Fallback>
              </mc:AlternateContent>
            </w:r>
            <w:r>
              <w:rPr>
                <w:rFonts w:hint="eastAsia" w:ascii="宋体" w:hAnsi="宋体" w:cs="宋体"/>
                <w:b/>
                <w:bCs/>
                <w:sz w:val="30"/>
                <w:szCs w:val="30"/>
              </w:rPr>
              <w:t>学    号:</w:t>
            </w:r>
          </w:p>
        </w:tc>
        <w:tc>
          <w:tcPr>
            <w:tcW w:w="5286" w:type="dxa"/>
            <w:tcBorders>
              <w:top w:val="single" w:color="auto" w:sz="4" w:space="0"/>
              <w:bottom w:val="single" w:color="auto" w:sz="4" w:space="0"/>
            </w:tcBorders>
            <w:vAlign w:val="center"/>
          </w:tcPr>
          <w:p w14:paraId="65E11346">
            <w:pPr>
              <w:spacing w:line="300" w:lineRule="auto"/>
              <w:jc w:val="center"/>
              <w:rPr>
                <w:sz w:val="32"/>
                <w:szCs w:val="32"/>
              </w:rPr>
            </w:pPr>
            <w:r>
              <w:rPr>
                <w:rFonts w:ascii="Times New Roman" w:hAnsi="Times New Roman" w:eastAsia="宋体"/>
                <w:b w:val="0"/>
                <w:sz w:val="32"/>
              </w:rPr>
              <w:t>24210204243</w:t>
            </w:r>
          </w:p>
        </w:tc>
      </w:tr>
      <w:tr w14:paraId="65E1134A">
        <w:tblPrEx>
          <w:tblCellMar>
            <w:top w:w="0" w:type="dxa"/>
            <w:left w:w="108" w:type="dxa"/>
            <w:bottom w:w="0" w:type="dxa"/>
            <w:right w:w="108" w:type="dxa"/>
          </w:tblCellMar>
        </w:tblPrEx>
        <w:trPr>
          <w:trHeight w:val="788" w:hRule="atLeast"/>
        </w:trPr>
        <w:tc>
          <w:tcPr>
            <w:tcW w:w="1718" w:type="dxa"/>
            <w:vAlign w:val="bottom"/>
          </w:tcPr>
          <w:p w14:paraId="65E11348">
            <w:pPr>
              <w:spacing w:line="600" w:lineRule="auto"/>
              <w:jc w:val="center"/>
              <w:rPr>
                <w:rFonts w:ascii="宋体" w:hAnsi="宋体" w:cs="宋体"/>
                <w:b/>
                <w:bCs/>
                <w:sz w:val="30"/>
                <w:szCs w:val="30"/>
              </w:rPr>
            </w:pPr>
            <w:r>
              <w:rPr>
                <w:rFonts w:hint="eastAsia" w:ascii="宋体" w:hAnsi="宋体" w:cs="宋体"/>
                <w:b/>
                <w:bCs/>
                <w:sz w:val="30"/>
                <w:szCs w:val="30"/>
              </w:rPr>
              <w:t>指导老师:</w:t>
            </w:r>
          </w:p>
        </w:tc>
        <w:tc>
          <w:tcPr>
            <w:tcW w:w="5286" w:type="dxa"/>
            <w:tcBorders>
              <w:top w:val="single" w:color="auto" w:sz="4" w:space="0"/>
              <w:bottom w:val="single" w:color="auto" w:sz="4" w:space="0"/>
            </w:tcBorders>
            <w:vAlign w:val="center"/>
          </w:tcPr>
          <w:p w14:paraId="65E11349">
            <w:pPr>
              <w:spacing w:line="300" w:lineRule="auto"/>
              <w:jc w:val="center"/>
              <w:rPr>
                <w:sz w:val="32"/>
                <w:szCs w:val="32"/>
              </w:rPr>
            </w:pPr>
            <w:r>
              <w:rPr>
                <w:rFonts w:ascii="Times New Roman" w:hAnsi="Times New Roman" w:eastAsia="宋体"/>
                <w:b w:val="0"/>
                <w:sz w:val="32"/>
              </w:rPr>
              <w:t>李冉</w:t>
            </w:r>
          </w:p>
        </w:tc>
      </w:tr>
    </w:tbl>
    <w:p w14:paraId="65E1134B">
      <w:pPr>
        <w:spacing w:line="300" w:lineRule="auto"/>
        <w:jc w:val="center"/>
        <w:rPr>
          <w:rFonts w:ascii="黑体" w:hAnsi="宋体" w:eastAsia="黑体"/>
          <w:bCs/>
          <w:sz w:val="36"/>
          <w:szCs w:val="32"/>
        </w:rPr>
      </w:pPr>
    </w:p>
    <w:p w14:paraId="65E1134C">
      <w:pPr>
        <w:spacing w:line="300" w:lineRule="auto"/>
        <w:jc w:val="center"/>
        <w:rPr>
          <w:rFonts w:eastAsia="黑体"/>
          <w:bCs/>
          <w:sz w:val="36"/>
          <w:szCs w:val="32"/>
        </w:rPr>
      </w:pPr>
      <w:r>
        <w:rPr>
          <w:rFonts w:hint="eastAsia" w:ascii="宋体" w:hAnsi="宋体" w:cs="宋体"/>
          <w:b/>
          <w:sz w:val="36"/>
          <w:szCs w:val="32"/>
          <w:u w:val="single"/>
        </w:rPr>
        <w:t xml:space="preserve"> 2026 </w:t>
      </w:r>
      <w:r>
        <w:rPr>
          <w:rFonts w:hint="eastAsia" w:ascii="宋体" w:hAnsi="宋体" w:cs="宋体"/>
          <w:b/>
          <w:sz w:val="36"/>
          <w:szCs w:val="32"/>
        </w:rPr>
        <w:t>年</w:t>
      </w:r>
      <w:r>
        <w:rPr>
          <w:rFonts w:hint="eastAsia" w:ascii="宋体" w:hAnsi="宋体" w:cs="宋体"/>
          <w:b/>
          <w:sz w:val="36"/>
          <w:szCs w:val="32"/>
          <w:u w:val="single"/>
        </w:rPr>
        <w:t xml:space="preserve">   春季 </w:t>
      </w:r>
      <w:r>
        <w:rPr>
          <w:rFonts w:hint="eastAsia" w:ascii="宋体" w:hAnsi="宋体" w:cs="宋体"/>
          <w:b/>
          <w:sz w:val="36"/>
          <w:szCs w:val="32"/>
        </w:rPr>
        <w:t>学期</w:t>
      </w:r>
      <w:r>
        <w:rPr>
          <w:sz w:val="36"/>
          <w:szCs w:val="36"/>
        </w:rPr>
        <mc:AlternateContent>
          <mc:Choice Requires="wps">
            <w:drawing>
              <wp:anchor distT="0" distB="0" distL="114300" distR="114300" simplePos="0" relativeHeight="251662336" behindDoc="0" locked="0" layoutInCell="1" allowOverlap="1">
                <wp:simplePos x="0" y="0"/>
                <wp:positionH relativeFrom="column">
                  <wp:posOffset>605790</wp:posOffset>
                </wp:positionH>
                <wp:positionV relativeFrom="paragraph">
                  <wp:posOffset>7781290</wp:posOffset>
                </wp:positionV>
                <wp:extent cx="914400" cy="650875"/>
                <wp:effectExtent l="4445" t="297180" r="2872105" b="4445"/>
                <wp:wrapNone/>
                <wp:docPr id="7" name="矩形标注 7"/>
                <wp:cNvGraphicFramePr/>
                <a:graphic xmlns:a="http://schemas.openxmlformats.org/drawingml/2006/main">
                  <a:graphicData uri="http://schemas.microsoft.com/office/word/2010/wordprocessingShape">
                    <wps:wsp>
                      <wps:cNvSpPr/>
                      <wps:spPr>
                        <a:xfrm>
                          <a:off x="0" y="0"/>
                          <a:ext cx="914400" cy="650875"/>
                        </a:xfrm>
                        <a:prstGeom prst="wedgeRectCallout">
                          <a:avLst>
                            <a:gd name="adj1" fmla="val 357917"/>
                            <a:gd name="adj2" fmla="val -94093"/>
                          </a:avLst>
                        </a:prstGeom>
                        <a:solidFill>
                          <a:srgbClr val="FFFFFF"/>
                        </a:solidFill>
                        <a:ln w="9525" cap="flat" cmpd="sng">
                          <a:solidFill>
                            <a:srgbClr val="000000"/>
                          </a:solidFill>
                          <a:prstDash val="solid"/>
                          <a:miter/>
                          <a:headEnd type="none" w="med" len="med"/>
                          <a:tailEnd type="none" w="med" len="med"/>
                        </a:ln>
                      </wps:spPr>
                      <wps:txbx>
                        <w:txbxContent>
                          <w:p w14:paraId="65E11484">
                            <w:pPr>
                              <w:rPr>
                                <w:b/>
                                <w:bCs/>
                                <w:color w:val="FF0000"/>
                              </w:rPr>
                            </w:pPr>
                            <w:r>
                              <w:rPr>
                                <w:rFonts w:ascii="宋体" w:hAnsi="宋体"/>
                                <w:b/>
                                <w:bCs/>
                                <w:color w:val="FF0000"/>
                              </w:rPr>
                              <w:t>中文</w:t>
                            </w:r>
                            <w:r>
                              <w:rPr>
                                <w:rFonts w:hint="eastAsia"/>
                                <w:b/>
                                <w:bCs/>
                                <w:color w:val="FF0000"/>
                              </w:rPr>
                              <w:t>宋体</w:t>
                            </w:r>
                            <w:r>
                              <w:rPr>
                                <w:rFonts w:ascii="宋体" w:hAnsi="宋体"/>
                                <w:b/>
                                <w:bCs/>
                                <w:color w:val="FF0000"/>
                              </w:rPr>
                              <w:t>，</w:t>
                            </w:r>
                            <w:r>
                              <w:rPr>
                                <w:rFonts w:hint="eastAsia"/>
                                <w:b/>
                                <w:bCs/>
                                <w:color w:val="FF0000"/>
                              </w:rPr>
                              <w:t>三号、居中</w:t>
                            </w:r>
                          </w:p>
                          <w:p w14:paraId="65E11485">
                            <w:pPr>
                              <w:rPr>
                                <w:color w:val="FF0000"/>
                              </w:rPr>
                            </w:pPr>
                          </w:p>
                        </w:txbxContent>
                      </wps:txbx>
                      <wps:bodyPr upright="1"/>
                    </wps:wsp>
                  </a:graphicData>
                </a:graphic>
              </wp:anchor>
            </w:drawing>
          </mc:Choice>
          <mc:Fallback>
            <w:pict>
              <v:shape id="_x0000_s1026" o:spid="_x0000_s1026" o:spt="61" type="#_x0000_t61" style="position:absolute;left:0pt;margin-left:47.7pt;margin-top:612.7pt;height:51.25pt;width:72pt;z-index:251662336;mso-width-relative:page;mso-height-relative:page;" fillcolor="#FFFFFF" filled="t" stroked="t" coordsize="21600,21600" o:gfxdata="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7OM9ltgAAAAMAQAADwAAAAAAAAABACAAAAAiAAAAZHJzL2Rv&#10;d25yZXYueG1sUEsBAhQAFAAAAAgAh07iQACVdLg6AgAAjQQAAA4AAAAAAAAAAQAgAAAAJwEAAGRy&#10;cy9lMm9Eb2MueG1sUEsFBgAAAAAGAAYAWQEAANMFAAAAAA==&#10;" adj="88110,-9524">
                <v:fill on="t" focussize="0,0"/>
                <v:stroke color="#000000" joinstyle="miter"/>
                <v:imagedata o:title=""/>
                <o:lock v:ext="edit" aspectratio="f"/>
                <v:textbox>
                  <w:txbxContent>
                    <w:p w14:paraId="65E11484">
                      <w:pPr>
                        <w:rPr>
                          <w:b/>
                          <w:bCs/>
                          <w:color w:val="FF0000"/>
                        </w:rPr>
                      </w:pPr>
                      <w:r>
                        <w:rPr>
                          <w:rFonts w:ascii="宋体" w:hAnsi="宋体"/>
                          <w:b/>
                          <w:bCs/>
                          <w:color w:val="FF0000"/>
                        </w:rPr>
                        <w:t>中文</w:t>
                      </w:r>
                      <w:r>
                        <w:rPr>
                          <w:rFonts w:hint="eastAsia"/>
                          <w:b/>
                          <w:bCs/>
                          <w:color w:val="FF0000"/>
                        </w:rPr>
                        <w:t>宋体</w:t>
                      </w:r>
                      <w:r>
                        <w:rPr>
                          <w:rFonts w:ascii="宋体" w:hAnsi="宋体"/>
                          <w:b/>
                          <w:bCs/>
                          <w:color w:val="FF0000"/>
                        </w:rPr>
                        <w:t>，</w:t>
                      </w:r>
                      <w:r>
                        <w:rPr>
                          <w:rFonts w:hint="eastAsia"/>
                          <w:b/>
                          <w:bCs/>
                          <w:color w:val="FF0000"/>
                        </w:rPr>
                        <w:t>三号、居中</w:t>
                      </w:r>
                    </w:p>
                    <w:p w14:paraId="65E11485">
                      <w:pPr>
                        <w:rPr>
                          <w:color w:val="FF0000"/>
                        </w:rPr>
                      </w:pPr>
                    </w:p>
                  </w:txbxContent>
                </v:textbox>
              </v:shape>
            </w:pict>
          </mc:Fallback>
        </mc:AlternateContent>
      </w:r>
    </w:p>
    <w:p w14:paraId="65E1134D">
      <w:pPr>
        <w:rPr>
          <w:rFonts w:eastAsia="黑体"/>
          <w:bCs/>
          <w:sz w:val="36"/>
          <w:szCs w:val="32"/>
        </w:rPr>
      </w:pPr>
      <w:r>
        <w:rPr>
          <w:rFonts w:eastAsia="黑体"/>
          <w:bCs/>
          <w:sz w:val="36"/>
          <w:szCs w:val="32"/>
        </w:rPr>
        <w:br w:type="page"/>
      </w:r>
    </w:p>
    <w:tbl>
      <w:tblPr>
        <w:tblStyle w:val="7"/>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0"/>
        <w:gridCol w:w="1654"/>
        <w:gridCol w:w="1939"/>
        <w:gridCol w:w="1455"/>
        <w:gridCol w:w="1842"/>
        <w:gridCol w:w="52"/>
      </w:tblGrid>
      <w:tr w14:paraId="65E11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dxa"/>
          </w:tcPr>
          <w:p w14:paraId="65E1134E">
            <w:pPr>
              <w:rPr>
                <w:b/>
                <w:bCs/>
                <w:sz w:val="36"/>
                <w:szCs w:val="36"/>
              </w:rPr>
            </w:pPr>
            <w:r>
              <w:rPr>
                <w:rFonts w:hint="eastAsia"/>
                <w:b/>
                <w:bCs/>
                <w:sz w:val="28"/>
                <w:szCs w:val="28"/>
              </w:rPr>
              <w:t>实验名称</w:t>
            </w:r>
          </w:p>
        </w:tc>
        <w:tc>
          <w:tcPr>
            <w:tcW w:w="6715" w:type="dxa"/>
            <w:gridSpan w:val="5"/>
          </w:tcPr>
          <w:p w14:paraId="65E1134F">
            <w:pPr>
              <w:rPr>
                <w:b/>
                <w:bCs/>
                <w:sz w:val="36"/>
                <w:szCs w:val="36"/>
              </w:rPr>
            </w:pPr>
            <w:r>
              <w:rPr>
                <w:rFonts w:hint="eastAsia"/>
                <w:b/>
                <w:bCs/>
                <w:sz w:val="36"/>
                <w:szCs w:val="36"/>
              </w:rPr>
              <w:t>综合性实验一</w:t>
            </w:r>
          </w:p>
        </w:tc>
      </w:tr>
      <w:tr w14:paraId="65E1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dxa"/>
          </w:tcPr>
          <w:p w14:paraId="65E11351">
            <w:pPr>
              <w:rPr>
                <w:b/>
                <w:bCs/>
                <w:sz w:val="28"/>
                <w:szCs w:val="28"/>
              </w:rPr>
            </w:pPr>
            <w:r>
              <w:rPr>
                <w:rFonts w:hint="eastAsia"/>
                <w:b/>
                <w:bCs/>
                <w:sz w:val="28"/>
                <w:szCs w:val="28"/>
              </w:rPr>
              <w:t>实验日期</w:t>
            </w:r>
          </w:p>
        </w:tc>
        <w:tc>
          <w:tcPr>
            <w:tcW w:w="3105" w:type="dxa"/>
            <w:gridSpan w:val="2"/>
          </w:tcPr>
          <w:p w14:paraId="65E11352">
            <w:pPr>
              <w:rPr>
                <w:rFonts w:hint="eastAsia"/>
                <w:b/>
                <w:bCs/>
                <w:sz w:val="36"/>
                <w:szCs w:val="36"/>
              </w:rPr>
            </w:pPr>
            <w:r>
              <w:rPr>
                <w:rFonts w:hint="eastAsia"/>
                <w:b/>
                <w:bCs/>
                <w:sz w:val="36"/>
                <w:szCs w:val="36"/>
              </w:rPr>
              <w:t>2026.4.27</w:t>
            </w:r>
          </w:p>
        </w:tc>
        <w:tc>
          <w:tcPr>
            <w:tcW w:w="1371" w:type="dxa"/>
          </w:tcPr>
          <w:p w14:paraId="65E11353">
            <w:pPr>
              <w:rPr>
                <w:b/>
                <w:bCs/>
                <w:sz w:val="36"/>
                <w:szCs w:val="36"/>
              </w:rPr>
            </w:pPr>
            <w:r>
              <w:rPr>
                <w:rFonts w:hint="eastAsia"/>
                <w:b/>
                <w:bCs/>
                <w:sz w:val="28"/>
                <w:szCs w:val="28"/>
              </w:rPr>
              <w:t xml:space="preserve">成 </w:t>
            </w:r>
            <w:r>
              <w:rPr>
                <w:b/>
                <w:bCs/>
                <w:sz w:val="28"/>
                <w:szCs w:val="28"/>
              </w:rPr>
              <w:t xml:space="preserve"> </w:t>
            </w:r>
            <w:r>
              <w:rPr>
                <w:rFonts w:hint="eastAsia"/>
                <w:b/>
                <w:bCs/>
                <w:sz w:val="28"/>
                <w:szCs w:val="28"/>
              </w:rPr>
              <w:t>绩</w:t>
            </w:r>
          </w:p>
        </w:tc>
        <w:tc>
          <w:tcPr>
            <w:tcW w:w="2239" w:type="dxa"/>
            <w:gridSpan w:val="2"/>
          </w:tcPr>
          <w:p w14:paraId="65E11354">
            <w:pPr>
              <w:rPr>
                <w:b/>
                <w:bCs/>
                <w:sz w:val="36"/>
                <w:szCs w:val="36"/>
              </w:rPr>
            </w:pPr>
          </w:p>
        </w:tc>
      </w:tr>
      <w:tr w14:paraId="65E11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2" w:type="dxa"/>
            <w:gridSpan w:val="2"/>
          </w:tcPr>
          <w:p w14:paraId="65E11356">
            <w:pPr>
              <w:jc w:val="center"/>
              <w:rPr>
                <w:b/>
                <w:bCs/>
                <w:sz w:val="28"/>
                <w:szCs w:val="28"/>
              </w:rPr>
            </w:pPr>
            <w:r>
              <w:rPr>
                <w:rFonts w:hint="eastAsia"/>
                <w:b/>
                <w:bCs/>
                <w:sz w:val="28"/>
                <w:szCs w:val="28"/>
              </w:rPr>
              <w:t>实验设备及软件/材料</w:t>
            </w:r>
          </w:p>
        </w:tc>
        <w:tc>
          <w:tcPr>
            <w:tcW w:w="5387" w:type="dxa"/>
            <w:gridSpan w:val="4"/>
          </w:tcPr>
          <w:p w14:paraId="65E11357">
            <w:pPr>
              <w:rPr>
                <w:b/>
                <w:bCs/>
                <w:sz w:val="36"/>
                <w:szCs w:val="36"/>
              </w:rPr>
            </w:pPr>
            <w:r>
              <w:rPr>
                <w:rFonts w:hint="eastAsia"/>
                <w:b/>
                <w:bCs/>
                <w:sz w:val="36"/>
                <w:szCs w:val="36"/>
              </w:rPr>
              <w:t>Anaconda</w:t>
            </w:r>
          </w:p>
        </w:tc>
      </w:tr>
      <w:tr w14:paraId="65E11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6" w:hRule="atLeast"/>
        </w:trPr>
        <w:tc>
          <w:tcPr>
            <w:tcW w:w="8359" w:type="dxa"/>
            <w:gridSpan w:val="6"/>
          </w:tcPr>
          <w:p w14:paraId="65E1135C">
            <w:pPr>
              <w:numPr>
                <w:ilvl w:val="0"/>
                <w:numId w:val="1"/>
              </w:numPr>
              <w:spacing w:before="156" w:beforeLines="50" w:after="156" w:afterLines="50" w:line="300" w:lineRule="auto"/>
              <w:rPr>
                <w:rFonts w:hint="eastAsia"/>
                <w:b/>
                <w:bCs/>
                <w:sz w:val="28"/>
                <w:szCs w:val="28"/>
              </w:rPr>
            </w:pPr>
            <w:r>
              <w:rPr>
                <w:rFonts w:hint="eastAsia"/>
                <w:b/>
                <w:bCs/>
                <w:sz w:val="28"/>
                <w:szCs w:val="28"/>
              </w:rPr>
              <w:t>实验目的：</w:t>
            </w:r>
          </w:p>
          <w:p w14:paraId="65E1135D">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题目</w:t>
            </w:r>
            <w:r>
              <w:rPr>
                <w:rFonts w:ascii="Calibri" w:hAnsi="Calibri" w:eastAsia="Segoe UI" w:cs="Calibri"/>
                <w:color w:val="000000"/>
                <w:sz w:val="21"/>
                <w:shd w:val="clear" w:color="auto" w:fill="FFFFFF"/>
              </w:rPr>
              <w:t>1</w:t>
            </w:r>
            <w:r>
              <w:rPr>
                <w:rFonts w:hint="eastAsia" w:ascii="宋体" w:hAnsi="宋体" w:cs="宋体"/>
                <w:color w:val="000000"/>
                <w:sz w:val="21"/>
                <w:shd w:val="clear" w:color="auto" w:fill="FFFFFF"/>
              </w:rPr>
              <w:t>：偶数筛选与统计</w:t>
            </w:r>
          </w:p>
          <w:p w14:paraId="65E1135E">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编写一个程序，要求：</w:t>
            </w:r>
          </w:p>
          <w:p w14:paraId="65E1135F">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60">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让用户输入</w:t>
            </w:r>
            <w:r>
              <w:rPr>
                <w:rFonts w:ascii="Calibri" w:hAnsi="Calibri" w:cs="Calibri"/>
                <w:color w:val="000000"/>
                <w:sz w:val="21"/>
                <w:shd w:val="clear" w:color="auto" w:fill="FFFFFF"/>
              </w:rPr>
              <w:t>10</w:t>
            </w:r>
            <w:r>
              <w:rPr>
                <w:rFonts w:hint="eastAsia" w:ascii="宋体" w:hAnsi="宋体" w:cs="宋体"/>
                <w:color w:val="000000"/>
                <w:sz w:val="21"/>
                <w:shd w:val="clear" w:color="auto" w:fill="FFFFFF"/>
              </w:rPr>
              <w:t>个整数，存储在一个列表中</w:t>
            </w:r>
          </w:p>
          <w:p w14:paraId="65E11361">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62">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使用循环遍历列表，筛选出所有偶数</w:t>
            </w:r>
          </w:p>
          <w:p w14:paraId="65E11363">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64">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统计偶数的数量并计算它们的平均值</w:t>
            </w:r>
          </w:p>
          <w:p w14:paraId="65E11365">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66">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输出结果：偶数列表、偶数数量和平均值</w:t>
            </w:r>
          </w:p>
          <w:p w14:paraId="65E11367">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68">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题目</w:t>
            </w:r>
            <w:r>
              <w:rPr>
                <w:rFonts w:ascii="Calibri" w:hAnsi="Calibri" w:cs="Calibri"/>
                <w:color w:val="000000"/>
                <w:sz w:val="21"/>
                <w:shd w:val="clear" w:color="auto" w:fill="FFFFFF"/>
              </w:rPr>
              <w:t>2</w:t>
            </w:r>
            <w:r>
              <w:rPr>
                <w:rFonts w:hint="eastAsia" w:ascii="宋体" w:hAnsi="宋体" w:cs="宋体"/>
                <w:color w:val="000000"/>
                <w:sz w:val="21"/>
                <w:shd w:val="clear" w:color="auto" w:fill="FFFFFF"/>
              </w:rPr>
              <w:t>：成绩等级分类</w:t>
            </w:r>
          </w:p>
          <w:p w14:paraId="65E11369">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编写一个程序，要求：</w:t>
            </w:r>
          </w:p>
          <w:p w14:paraId="65E1136A">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6B">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创建一个包含</w:t>
            </w:r>
            <w:r>
              <w:rPr>
                <w:rFonts w:ascii="Calibri" w:hAnsi="Calibri" w:cs="Calibri"/>
                <w:color w:val="000000"/>
                <w:sz w:val="21"/>
                <w:shd w:val="clear" w:color="auto" w:fill="FFFFFF"/>
              </w:rPr>
              <w:t>20</w:t>
            </w:r>
            <w:r>
              <w:rPr>
                <w:rFonts w:hint="eastAsia" w:ascii="宋体" w:hAnsi="宋体" w:cs="宋体"/>
                <w:color w:val="000000"/>
                <w:sz w:val="21"/>
                <w:shd w:val="clear" w:color="auto" w:fill="FFFFFF"/>
              </w:rPr>
              <w:t>个随机成绩的列表（范围</w:t>
            </w:r>
            <w:r>
              <w:rPr>
                <w:rFonts w:ascii="Calibri" w:hAnsi="Calibri" w:cs="Calibri"/>
                <w:color w:val="000000"/>
                <w:sz w:val="21"/>
                <w:shd w:val="clear" w:color="auto" w:fill="FFFFFF"/>
              </w:rPr>
              <w:t>0-100</w:t>
            </w:r>
            <w:r>
              <w:rPr>
                <w:rFonts w:hint="eastAsia" w:ascii="宋体" w:hAnsi="宋体" w:cs="宋体"/>
                <w:color w:val="000000"/>
                <w:sz w:val="21"/>
                <w:shd w:val="clear" w:color="auto" w:fill="FFFFFF"/>
              </w:rPr>
              <w:t>）</w:t>
            </w:r>
          </w:p>
          <w:p w14:paraId="65E1136C">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6D">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使用循环和条件判断将成绩分为以下等级：</w:t>
            </w:r>
          </w:p>
          <w:p w14:paraId="65E1136E">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6F">
            <w:pPr>
              <w:pStyle w:val="5"/>
              <w:widowControl/>
              <w:shd w:val="clear" w:color="auto" w:fill="FFFFFF"/>
              <w:spacing w:beforeAutospacing="0" w:afterAutospacing="0"/>
              <w:rPr>
                <w:rFonts w:ascii="Segoe UI" w:hAnsi="Segoe UI" w:eastAsia="Segoe UI" w:cs="Segoe UI"/>
                <w:color w:val="000000"/>
                <w:sz w:val="21"/>
              </w:rPr>
            </w:pPr>
            <w:r>
              <w:rPr>
                <w:rFonts w:ascii="Calibri" w:hAnsi="Calibri" w:cs="Calibri"/>
                <w:color w:val="000000"/>
                <w:sz w:val="21"/>
                <w:shd w:val="clear" w:color="auto" w:fill="FFFFFF"/>
              </w:rPr>
              <w:t>90-100: A</w:t>
            </w:r>
          </w:p>
          <w:p w14:paraId="65E11370">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71">
            <w:pPr>
              <w:pStyle w:val="5"/>
              <w:widowControl/>
              <w:shd w:val="clear" w:color="auto" w:fill="FFFFFF"/>
              <w:spacing w:beforeAutospacing="0" w:afterAutospacing="0"/>
              <w:rPr>
                <w:rFonts w:ascii="Segoe UI" w:hAnsi="Segoe UI" w:eastAsia="Segoe UI" w:cs="Segoe UI"/>
                <w:color w:val="000000"/>
                <w:sz w:val="21"/>
              </w:rPr>
            </w:pPr>
            <w:r>
              <w:rPr>
                <w:rFonts w:ascii="Calibri" w:hAnsi="Calibri" w:cs="Calibri"/>
                <w:color w:val="000000"/>
                <w:sz w:val="21"/>
                <w:shd w:val="clear" w:color="auto" w:fill="FFFFFF"/>
              </w:rPr>
              <w:t>80-89: B</w:t>
            </w:r>
          </w:p>
          <w:p w14:paraId="65E11372">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73">
            <w:pPr>
              <w:pStyle w:val="5"/>
              <w:widowControl/>
              <w:shd w:val="clear" w:color="auto" w:fill="FFFFFF"/>
              <w:spacing w:beforeAutospacing="0" w:afterAutospacing="0"/>
              <w:rPr>
                <w:rFonts w:ascii="Segoe UI" w:hAnsi="Segoe UI" w:eastAsia="Segoe UI" w:cs="Segoe UI"/>
                <w:color w:val="000000"/>
                <w:sz w:val="21"/>
              </w:rPr>
            </w:pPr>
            <w:r>
              <w:rPr>
                <w:rFonts w:ascii="Calibri" w:hAnsi="Calibri" w:cs="Calibri"/>
                <w:color w:val="000000"/>
                <w:sz w:val="21"/>
                <w:shd w:val="clear" w:color="auto" w:fill="FFFFFF"/>
              </w:rPr>
              <w:t>70-79: C</w:t>
            </w:r>
          </w:p>
          <w:p w14:paraId="65E11374">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75">
            <w:pPr>
              <w:pStyle w:val="5"/>
              <w:widowControl/>
              <w:shd w:val="clear" w:color="auto" w:fill="FFFFFF"/>
              <w:spacing w:beforeAutospacing="0" w:afterAutospacing="0"/>
              <w:rPr>
                <w:rFonts w:ascii="Segoe UI" w:hAnsi="Segoe UI" w:eastAsia="Segoe UI" w:cs="Segoe UI"/>
                <w:color w:val="000000"/>
                <w:sz w:val="21"/>
              </w:rPr>
            </w:pPr>
            <w:r>
              <w:rPr>
                <w:rFonts w:ascii="Calibri" w:hAnsi="Calibri" w:cs="Calibri"/>
                <w:color w:val="000000"/>
                <w:sz w:val="21"/>
                <w:shd w:val="clear" w:color="auto" w:fill="FFFFFF"/>
              </w:rPr>
              <w:t>60-69: D</w:t>
            </w:r>
          </w:p>
          <w:p w14:paraId="65E11376">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77">
            <w:pPr>
              <w:pStyle w:val="5"/>
              <w:widowControl/>
              <w:shd w:val="clear" w:color="auto" w:fill="FFFFFF"/>
              <w:spacing w:beforeAutospacing="0" w:afterAutospacing="0"/>
              <w:rPr>
                <w:rFonts w:ascii="Segoe UI" w:hAnsi="Segoe UI" w:eastAsia="Segoe UI" w:cs="Segoe UI"/>
                <w:color w:val="000000"/>
                <w:sz w:val="21"/>
              </w:rPr>
            </w:pPr>
            <w:r>
              <w:rPr>
                <w:rFonts w:ascii="Calibri" w:hAnsi="Calibri" w:cs="Calibri"/>
                <w:color w:val="000000"/>
                <w:sz w:val="21"/>
                <w:shd w:val="clear" w:color="auto" w:fill="FFFFFF"/>
              </w:rPr>
              <w:t>0-59: F</w:t>
            </w:r>
          </w:p>
          <w:p w14:paraId="65E11378">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79">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统计每个等级的人数</w:t>
            </w:r>
          </w:p>
          <w:p w14:paraId="65E1137A">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7B">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输出分类结果和各等级人数</w:t>
            </w:r>
          </w:p>
          <w:p w14:paraId="65E1137C">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7D">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题目</w:t>
            </w:r>
            <w:r>
              <w:rPr>
                <w:rFonts w:ascii="Calibri" w:hAnsi="Calibri" w:cs="Calibri"/>
                <w:color w:val="000000"/>
                <w:sz w:val="21"/>
                <w:shd w:val="clear" w:color="auto" w:fill="FFFFFF"/>
              </w:rPr>
              <w:t>3</w:t>
            </w:r>
            <w:r>
              <w:rPr>
                <w:rFonts w:hint="eastAsia" w:ascii="宋体" w:hAnsi="宋体" w:cs="宋体"/>
                <w:color w:val="000000"/>
                <w:sz w:val="21"/>
                <w:shd w:val="clear" w:color="auto" w:fill="FFFFFF"/>
              </w:rPr>
              <w:t>：列表元素处理</w:t>
            </w:r>
          </w:p>
          <w:p w14:paraId="65E1137E">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编写一个程序，要求：</w:t>
            </w:r>
          </w:p>
          <w:p w14:paraId="65E1137F">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80">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创建一个包含</w:t>
            </w:r>
            <w:r>
              <w:rPr>
                <w:rFonts w:ascii="Calibri" w:hAnsi="Calibri" w:cs="Calibri"/>
                <w:color w:val="000000"/>
                <w:sz w:val="21"/>
                <w:shd w:val="clear" w:color="auto" w:fill="FFFFFF"/>
              </w:rPr>
              <w:t>15</w:t>
            </w:r>
            <w:r>
              <w:rPr>
                <w:rFonts w:hint="eastAsia" w:ascii="宋体" w:hAnsi="宋体" w:cs="宋体"/>
                <w:color w:val="000000"/>
                <w:sz w:val="21"/>
                <w:shd w:val="clear" w:color="auto" w:fill="FFFFFF"/>
              </w:rPr>
              <w:t>个随机整数的列表（范围</w:t>
            </w:r>
            <w:r>
              <w:rPr>
                <w:rFonts w:ascii="Calibri" w:hAnsi="Calibri" w:cs="Calibri"/>
                <w:color w:val="000000"/>
                <w:sz w:val="21"/>
                <w:shd w:val="clear" w:color="auto" w:fill="FFFFFF"/>
              </w:rPr>
              <w:t>-50</w:t>
            </w:r>
            <w:r>
              <w:rPr>
                <w:rFonts w:hint="eastAsia" w:ascii="宋体" w:hAnsi="宋体" w:cs="宋体"/>
                <w:color w:val="000000"/>
                <w:sz w:val="21"/>
                <w:shd w:val="clear" w:color="auto" w:fill="FFFFFF"/>
              </w:rPr>
              <w:t>到</w:t>
            </w:r>
            <w:r>
              <w:rPr>
                <w:rFonts w:ascii="Calibri" w:hAnsi="Calibri" w:cs="Calibri"/>
                <w:color w:val="000000"/>
                <w:sz w:val="21"/>
                <w:shd w:val="clear" w:color="auto" w:fill="FFFFFF"/>
              </w:rPr>
              <w:t>50</w:t>
            </w:r>
            <w:r>
              <w:rPr>
                <w:rFonts w:hint="eastAsia" w:ascii="宋体" w:hAnsi="宋体" w:cs="宋体"/>
                <w:color w:val="000000"/>
                <w:sz w:val="21"/>
                <w:shd w:val="clear" w:color="auto" w:fill="FFFFFF"/>
              </w:rPr>
              <w:t>）</w:t>
            </w:r>
          </w:p>
          <w:p w14:paraId="65E11381">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82">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使用循环遍历列表：</w:t>
            </w:r>
          </w:p>
          <w:p w14:paraId="65E11383">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84">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将所有正数加倍</w:t>
            </w:r>
          </w:p>
          <w:p w14:paraId="65E11385">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86">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将所有负数变为其绝对值</w:t>
            </w:r>
          </w:p>
          <w:p w14:paraId="65E11387">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88">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跳过</w:t>
            </w:r>
            <w:r>
              <w:rPr>
                <w:rFonts w:ascii="Calibri" w:hAnsi="Calibri" w:cs="Calibri"/>
                <w:color w:val="000000"/>
                <w:sz w:val="21"/>
                <w:shd w:val="clear" w:color="auto" w:fill="FFFFFF"/>
              </w:rPr>
              <w:t>0</w:t>
            </w:r>
            <w:r>
              <w:rPr>
                <w:rFonts w:hint="eastAsia" w:ascii="宋体" w:hAnsi="宋体" w:cs="宋体"/>
                <w:color w:val="000000"/>
                <w:sz w:val="21"/>
                <w:shd w:val="clear" w:color="auto" w:fill="FFFFFF"/>
              </w:rPr>
              <w:t>不做处理</w:t>
            </w:r>
          </w:p>
          <w:p w14:paraId="65E11389">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8A">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输出原始列表和处理后的列表</w:t>
            </w:r>
          </w:p>
          <w:p w14:paraId="65E1138B">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8C">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题目</w:t>
            </w:r>
            <w:r>
              <w:rPr>
                <w:rFonts w:ascii="Calibri" w:hAnsi="Calibri" w:cs="Calibri"/>
                <w:color w:val="000000"/>
                <w:sz w:val="21"/>
                <w:shd w:val="clear" w:color="auto" w:fill="FFFFFF"/>
              </w:rPr>
              <w:t>4</w:t>
            </w:r>
            <w:r>
              <w:rPr>
                <w:rFonts w:hint="eastAsia" w:ascii="宋体" w:hAnsi="宋体" w:cs="宋体"/>
                <w:color w:val="000000"/>
                <w:sz w:val="21"/>
                <w:shd w:val="clear" w:color="auto" w:fill="FFFFFF"/>
              </w:rPr>
              <w:t>：寻找列表中的极值</w:t>
            </w:r>
          </w:p>
          <w:p w14:paraId="65E1138D">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编写一个程序，要求：</w:t>
            </w:r>
          </w:p>
          <w:p w14:paraId="65E1138E">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8F">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创建一个包含</w:t>
            </w:r>
            <w:r>
              <w:rPr>
                <w:rFonts w:ascii="Calibri" w:hAnsi="Calibri" w:cs="Calibri"/>
                <w:color w:val="000000"/>
                <w:sz w:val="21"/>
                <w:shd w:val="clear" w:color="auto" w:fill="FFFFFF"/>
              </w:rPr>
              <w:t>12</w:t>
            </w:r>
            <w:r>
              <w:rPr>
                <w:rFonts w:hint="eastAsia" w:ascii="宋体" w:hAnsi="宋体" w:cs="宋体"/>
                <w:color w:val="000000"/>
                <w:sz w:val="21"/>
                <w:shd w:val="clear" w:color="auto" w:fill="FFFFFF"/>
              </w:rPr>
              <w:t>个随机数的列表（范围</w:t>
            </w:r>
            <w:r>
              <w:rPr>
                <w:rFonts w:ascii="Calibri" w:hAnsi="Calibri" w:cs="Calibri"/>
                <w:color w:val="000000"/>
                <w:sz w:val="21"/>
                <w:shd w:val="clear" w:color="auto" w:fill="FFFFFF"/>
              </w:rPr>
              <w:t>10.0-99.9</w:t>
            </w:r>
            <w:r>
              <w:rPr>
                <w:rFonts w:hint="eastAsia" w:ascii="宋体" w:hAnsi="宋体" w:cs="宋体"/>
                <w:color w:val="000000"/>
                <w:sz w:val="21"/>
                <w:shd w:val="clear" w:color="auto" w:fill="FFFFFF"/>
              </w:rPr>
              <w:t>）</w:t>
            </w:r>
          </w:p>
          <w:p w14:paraId="65E11390">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91">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找出列表中的最大值和最小值及其位置</w:t>
            </w:r>
          </w:p>
          <w:p w14:paraId="65E11392">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93">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计算列表中所有大于平均值的数的和</w:t>
            </w:r>
          </w:p>
          <w:p w14:paraId="65E11394">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 </w:t>
            </w:r>
          </w:p>
          <w:p w14:paraId="65E11395">
            <w:pPr>
              <w:pStyle w:val="5"/>
              <w:widowControl/>
              <w:shd w:val="clear" w:color="auto" w:fill="FFFFFF"/>
              <w:spacing w:beforeAutospacing="0" w:afterAutospacing="0"/>
              <w:rPr>
                <w:rFonts w:ascii="Segoe UI" w:hAnsi="Segoe UI" w:eastAsia="Segoe UI" w:cs="Segoe UI"/>
                <w:color w:val="000000"/>
                <w:sz w:val="21"/>
              </w:rPr>
            </w:pPr>
            <w:r>
              <w:rPr>
                <w:rFonts w:hint="eastAsia" w:ascii="宋体" w:hAnsi="宋体" w:cs="宋体"/>
                <w:color w:val="000000"/>
                <w:sz w:val="21"/>
                <w:shd w:val="clear" w:color="auto" w:fill="FFFFFF"/>
              </w:rPr>
              <w:t>输出结果</w:t>
            </w:r>
          </w:p>
          <w:p w14:paraId="65E11396">
            <w:pPr>
              <w:pStyle w:val="5"/>
              <w:widowControl/>
              <w:shd w:val="clear" w:color="auto" w:fill="FFFFFF"/>
              <w:spacing w:beforeAutospacing="0" w:afterAutospacing="0"/>
              <w:rPr>
                <w:rFonts w:ascii="Segoe UI" w:hAnsi="Segoe UI" w:eastAsia="Segoe UI" w:cs="Segoe UI"/>
                <w:color w:val="000000"/>
                <w:sz w:val="21"/>
              </w:rPr>
            </w:pPr>
          </w:p>
          <w:p w14:paraId="65E11397">
            <w:pPr>
              <w:pStyle w:val="5"/>
              <w:widowControl/>
              <w:shd w:val="clear" w:color="auto" w:fill="FFFFFF"/>
              <w:spacing w:beforeAutospacing="0" w:afterAutospacing="0"/>
              <w:rPr>
                <w:rFonts w:ascii="Segoe UI" w:hAnsi="Segoe UI" w:eastAsia="Segoe UI" w:cs="Segoe UI"/>
                <w:color w:val="000000"/>
                <w:sz w:val="21"/>
              </w:rPr>
            </w:pPr>
            <w:r>
              <w:rPr>
                <w:rFonts w:ascii="Segoe UI" w:hAnsi="Segoe UI" w:eastAsia="Segoe UI" w:cs="Segoe UI"/>
                <w:color w:val="000000"/>
                <w:sz w:val="21"/>
                <w:shd w:val="clear" w:color="auto" w:fill="FFFFFF"/>
              </w:rPr>
              <w:t>题目5：猜谜语</w:t>
            </w:r>
          </w:p>
          <w:p w14:paraId="65E11398">
            <w:pPr>
              <w:pStyle w:val="5"/>
              <w:widowControl/>
              <w:shd w:val="clear" w:color="auto" w:fill="FFFFFF"/>
              <w:spacing w:beforeAutospacing="0" w:afterAutospacing="0"/>
              <w:rPr>
                <w:rFonts w:ascii="Segoe UI" w:hAnsi="Segoe UI" w:eastAsia="Segoe UI" w:cs="Segoe UI"/>
                <w:color w:val="000000"/>
                <w:sz w:val="21"/>
              </w:rPr>
            </w:pPr>
            <w:r>
              <w:rPr>
                <w:rFonts w:ascii="Segoe UI" w:hAnsi="Segoe UI" w:eastAsia="Segoe UI" w:cs="Segoe UI"/>
                <w:color w:val="000000"/>
                <w:sz w:val="21"/>
                <w:shd w:val="clear" w:color="auto" w:fill="FFFFFF"/>
              </w:rPr>
              <w:t>编写一个猜谜语的程序？</w:t>
            </w:r>
          </w:p>
          <w:p w14:paraId="65E11399">
            <w:pPr>
              <w:spacing w:before="156" w:beforeLines="50" w:after="156" w:afterLines="50" w:line="300" w:lineRule="auto"/>
              <w:rPr>
                <w:b/>
                <w:bCs/>
                <w:sz w:val="28"/>
                <w:szCs w:val="28"/>
              </w:rPr>
            </w:pPr>
          </w:p>
          <w:p w14:paraId="65E1139A">
            <w:pPr>
              <w:spacing w:before="156" w:beforeLines="50" w:after="156" w:afterLines="50" w:line="300" w:lineRule="auto"/>
              <w:rPr>
                <w:b/>
                <w:bCs/>
                <w:sz w:val="28"/>
                <w:szCs w:val="28"/>
              </w:rPr>
            </w:pPr>
            <w:r>
              <w:rPr>
                <w:rFonts w:hint="eastAsia"/>
                <w:b/>
                <w:bCs/>
                <w:sz w:val="28"/>
                <w:szCs w:val="28"/>
              </w:rPr>
              <w:t>二、实验内容及步骤：</w:t>
            </w:r>
          </w:p>
          <w:p w14:paraId="76AC9A53">
            <w:pPr>
              <w:spacing w:after="80"/>
            </w:pPr>
            <w:r>
              <w:rPr>
                <w:rFonts w:ascii="Times New Roman" w:hAnsi="Times New Roman" w:eastAsia="宋体"/>
                <w:b/>
                <w:sz w:val="28"/>
              </w:rPr>
              <w:t>2.1 实验内容分析</w:t>
            </w:r>
          </w:p>
          <w:p w14:paraId="59F328B0">
            <w:pPr>
              <w:spacing w:after="80" w:line="336" w:lineRule="auto"/>
              <w:ind w:firstLine="480"/>
              <w:jc w:val="both"/>
            </w:pPr>
            <w:r>
              <w:rPr>
                <w:rFonts w:ascii="Times New Roman" w:hAnsi="Times New Roman" w:eastAsia="宋体"/>
                <w:b w:val="0"/>
                <w:sz w:val="24"/>
              </w:rPr>
              <w:t>本实验为 Python 基础编程综合训练，包含 5 个题目，综合运用列表、for 循环、if-elif 条件判断、自定义函数与随机数等基础知识，覆盖数据录入、筛选统计、分类判断、列表处理、极值查找与交互游戏等典型场景。</w:t>
            </w:r>
          </w:p>
          <w:p w14:paraId="6BA763BA">
            <w:pPr>
              <w:spacing w:after="80"/>
            </w:pPr>
            <w:r>
              <w:rPr>
                <w:rFonts w:ascii="Times New Roman" w:hAnsi="Times New Roman" w:eastAsia="宋体"/>
                <w:b/>
                <w:sz w:val="28"/>
              </w:rPr>
              <w:t>2.2 程序流程图</w:t>
            </w:r>
          </w:p>
          <w:p w14:paraId="72A7F6B6">
            <w:pPr>
              <w:jc w:val="center"/>
            </w:pPr>
            <w:r>
              <w:drawing>
                <wp:inline distT="0" distB="0" distL="114300" distR="114300">
                  <wp:extent cx="3383280" cy="5361940"/>
                  <wp:effectExtent l="0" t="0" r="7620" b="1016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6"/>
                          <a:stretch>
                            <a:fillRect/>
                          </a:stretch>
                        </pic:blipFill>
                        <pic:spPr>
                          <a:xfrm>
                            <a:off x="0" y="0"/>
                            <a:ext cx="3383280" cy="5362530"/>
                          </a:xfrm>
                          <a:prstGeom prst="rect">
                            <a:avLst/>
                          </a:prstGeom>
                        </pic:spPr>
                      </pic:pic>
                    </a:graphicData>
                  </a:graphic>
                </wp:inline>
              </w:drawing>
            </w:r>
          </w:p>
          <w:p w14:paraId="7F10027C">
            <w:pPr>
              <w:jc w:val="center"/>
            </w:pPr>
            <w:r>
              <w:rPr>
                <w:rFonts w:ascii="Times New Roman" w:hAnsi="Times New Roman" w:eastAsia="宋体"/>
                <w:b w:val="0"/>
                <w:sz w:val="21"/>
              </w:rPr>
              <w:t>图1-1  实验一程序流程图</w:t>
            </w:r>
          </w:p>
          <w:p w14:paraId="12C7B7C5">
            <w:pPr>
              <w:spacing w:after="80"/>
            </w:pPr>
            <w:r>
              <w:rPr>
                <w:rFonts w:ascii="Times New Roman" w:hAnsi="Times New Roman" w:eastAsia="宋体"/>
                <w:b/>
                <w:sz w:val="28"/>
              </w:rPr>
              <w:t>2.3 各题设计思路与核心代码</w:t>
            </w:r>
          </w:p>
          <w:p w14:paraId="160C9E83">
            <w:pPr>
              <w:spacing w:after="80" w:line="336" w:lineRule="auto"/>
              <w:ind w:firstLine="480"/>
              <w:jc w:val="both"/>
            </w:pPr>
            <w:r>
              <w:rPr>
                <w:rFonts w:ascii="Times New Roman" w:hAnsi="Times New Roman" w:eastAsia="宋体"/>
                <w:b w:val="0"/>
                <w:sz w:val="24"/>
              </w:rPr>
              <w:t>题目1（偶数筛选与统计）：用 for 循环配合 input() 录入 10 个整数存入列表，遍历用 x % 2 == 0 判断偶数，再用 sum()/len() 计算偶数平均值。</w:t>
            </w:r>
          </w:p>
          <w:p w14:paraId="155772CB">
            <w:pPr>
              <w:spacing w:after="80" w:line="336" w:lineRule="auto"/>
              <w:ind w:firstLine="480"/>
              <w:jc w:val="both"/>
            </w:pPr>
            <w:r>
              <w:rPr>
                <w:rFonts w:ascii="Times New Roman" w:hAnsi="Times New Roman" w:eastAsia="宋体"/>
                <w:b w:val="0"/>
                <w:sz w:val="24"/>
              </w:rPr>
              <w:t>题目2（成绩等级分类）：用列表推导生成 20 个随机成绩，定义 get_grade() 函数用 if-elif 返回等级，并借助字典统计各等级人数。</w:t>
            </w:r>
          </w:p>
          <w:p w14:paraId="229157D9">
            <w:pPr>
              <w:spacing w:after="80" w:line="336" w:lineRule="auto"/>
              <w:ind w:firstLine="480"/>
              <w:jc w:val="both"/>
            </w:pPr>
            <w:r>
              <w:rPr>
                <w:rFonts w:ascii="Times New Roman" w:hAnsi="Times New Roman" w:eastAsia="宋体"/>
                <w:b w:val="0"/>
                <w:sz w:val="24"/>
              </w:rPr>
              <w:t>题目3（列表元素处理）：生成 15 个随机整数，遍历用 if-elif 对正数加倍、负数取绝对值、0 跳过不处理。</w:t>
            </w:r>
          </w:p>
          <w:p w14:paraId="48D73CEB">
            <w:pPr>
              <w:spacing w:after="80" w:line="336" w:lineRule="auto"/>
              <w:ind w:firstLine="480"/>
              <w:jc w:val="both"/>
            </w:pPr>
            <w:r>
              <w:rPr>
                <w:rFonts w:ascii="Times New Roman" w:hAnsi="Times New Roman" w:eastAsia="宋体"/>
                <w:b w:val="0"/>
                <w:sz w:val="24"/>
              </w:rPr>
              <w:t>题目4（寻找列表极值）：生成 12 个随机浮点数，用 max()/min()/index() 求极值及位置，用列表推导筛选并求大于平均值的数之和。</w:t>
            </w:r>
          </w:p>
          <w:p w14:paraId="4CB887A5">
            <w:pPr>
              <w:spacing w:after="80" w:line="336" w:lineRule="auto"/>
              <w:ind w:firstLine="480"/>
              <w:jc w:val="both"/>
            </w:pPr>
            <w:r>
              <w:rPr>
                <w:rFonts w:ascii="Times New Roman" w:hAnsi="Times New Roman" w:eastAsia="宋体"/>
                <w:b w:val="0"/>
                <w:sz w:val="24"/>
              </w:rPr>
              <w:t>题目5（猜谜语游戏）：预设谜语列表，外层 for 遍历题目、内层 for 限制每题最多猜 3 次，用 if 比较判断对错并计分。</w:t>
            </w:r>
          </w:p>
          <w:p w14:paraId="3F651BA1">
            <w:pPr>
              <w:spacing w:after="80" w:line="336" w:lineRule="auto"/>
              <w:ind w:firstLine="480"/>
              <w:jc w:val="both"/>
            </w:pPr>
            <w:r>
              <w:rPr>
                <w:rFonts w:ascii="Times New Roman" w:hAnsi="Times New Roman" w:eastAsia="宋体"/>
                <w:b w:val="0"/>
                <w:sz w:val="24"/>
              </w:rPr>
              <w:t>其中题目2“成绩等级分类”的核心代码如下：</w:t>
            </w:r>
          </w:p>
          <w:p w14:paraId="671EAF2A">
            <w:pPr>
              <w:spacing w:after="0"/>
            </w:pPr>
            <w:r>
              <w:rPr>
                <w:rFonts w:ascii="Consolas" w:hAnsi="Consolas" w:eastAsia="宋体"/>
                <w:b w:val="0"/>
                <w:sz w:val="18"/>
              </w:rPr>
              <w:t>def get_grade(score):        # 自定义分级函数</w:t>
            </w:r>
          </w:p>
          <w:p w14:paraId="46834247">
            <w:pPr>
              <w:spacing w:after="0"/>
            </w:pPr>
            <w:r>
              <w:rPr>
                <w:rFonts w:ascii="Consolas" w:hAnsi="Consolas" w:eastAsia="宋体"/>
                <w:b w:val="0"/>
                <w:sz w:val="18"/>
              </w:rPr>
              <w:t xml:space="preserve">    if score &gt;= 90:   return 'A'</w:t>
            </w:r>
          </w:p>
          <w:p w14:paraId="62BE5FA8">
            <w:pPr>
              <w:spacing w:after="0"/>
            </w:pPr>
            <w:r>
              <w:rPr>
                <w:rFonts w:ascii="Consolas" w:hAnsi="Consolas" w:eastAsia="宋体"/>
                <w:b w:val="0"/>
                <w:sz w:val="18"/>
              </w:rPr>
              <w:t xml:space="preserve">    elif score &gt;= 80: return 'B'</w:t>
            </w:r>
          </w:p>
          <w:p w14:paraId="4CCC293E">
            <w:pPr>
              <w:spacing w:after="0"/>
            </w:pPr>
            <w:r>
              <w:rPr>
                <w:rFonts w:ascii="Consolas" w:hAnsi="Consolas" w:eastAsia="宋体"/>
                <w:b w:val="0"/>
                <w:sz w:val="18"/>
              </w:rPr>
              <w:t xml:space="preserve">    elif score &gt;= 70: return 'C'</w:t>
            </w:r>
          </w:p>
          <w:p w14:paraId="17E8831B">
            <w:pPr>
              <w:spacing w:after="0"/>
            </w:pPr>
            <w:r>
              <w:rPr>
                <w:rFonts w:ascii="Consolas" w:hAnsi="Consolas" w:eastAsia="宋体"/>
                <w:b w:val="0"/>
                <w:sz w:val="18"/>
              </w:rPr>
              <w:t xml:space="preserve">    elif score &gt;= 60: return 'D'</w:t>
            </w:r>
          </w:p>
          <w:p w14:paraId="038730C4">
            <w:pPr>
              <w:spacing w:after="0"/>
            </w:pPr>
            <w:r>
              <w:rPr>
                <w:rFonts w:ascii="Consolas" w:hAnsi="Consolas" w:eastAsia="宋体"/>
                <w:b w:val="0"/>
                <w:sz w:val="18"/>
              </w:rPr>
              <w:t xml:space="preserve">    else:             return 'F'</w:t>
            </w:r>
          </w:p>
          <w:p w14:paraId="5831399C">
            <w:pPr>
              <w:spacing w:after="0"/>
            </w:pPr>
            <w:r>
              <w:rPr>
                <w:rFonts w:ascii="Consolas" w:hAnsi="Consolas" w:eastAsia="宋体"/>
                <w:b w:val="0"/>
                <w:sz w:val="18"/>
              </w:rPr>
              <w:t xml:space="preserve"> </w:t>
            </w:r>
          </w:p>
          <w:p w14:paraId="4A1D2057">
            <w:pPr>
              <w:spacing w:after="0"/>
            </w:pPr>
            <w:r>
              <w:rPr>
                <w:rFonts w:ascii="Consolas" w:hAnsi="Consolas" w:eastAsia="宋体"/>
                <w:b w:val="0"/>
                <w:sz w:val="18"/>
              </w:rPr>
              <w:t>counts = {'A':0,'B':0,'C':0,'D':0,'F':0}</w:t>
            </w:r>
          </w:p>
          <w:p w14:paraId="0576E9D1">
            <w:pPr>
              <w:spacing w:after="0"/>
            </w:pPr>
            <w:r>
              <w:rPr>
                <w:rFonts w:ascii="Consolas" w:hAnsi="Consolas" w:eastAsia="宋体"/>
                <w:b w:val="0"/>
                <w:sz w:val="18"/>
              </w:rPr>
              <w:t>for s in scores:             # 遍历统计各等级人数</w:t>
            </w:r>
          </w:p>
          <w:p w14:paraId="2B7182E4">
            <w:pPr>
              <w:spacing w:after="0"/>
            </w:pPr>
            <w:r>
              <w:rPr>
                <w:rFonts w:ascii="Consolas" w:hAnsi="Consolas" w:eastAsia="宋体"/>
                <w:b w:val="0"/>
                <w:sz w:val="18"/>
              </w:rPr>
              <w:t xml:space="preserve">    counts[get_grade(s)] += 1</w:t>
            </w:r>
          </w:p>
          <w:p w14:paraId="65E1139E">
            <w:pPr>
              <w:spacing w:before="156" w:beforeLines="50" w:after="156" w:afterLines="50" w:line="300" w:lineRule="auto"/>
              <w:rPr>
                <w:b/>
                <w:bCs/>
                <w:sz w:val="28"/>
                <w:szCs w:val="28"/>
              </w:rPr>
            </w:pPr>
            <w:r>
              <w:rPr>
                <w:rFonts w:hint="eastAsia"/>
                <w:b/>
                <w:bCs/>
                <w:sz w:val="28"/>
                <w:szCs w:val="28"/>
              </w:rPr>
              <w:t>三、实验结果：</w:t>
            </w:r>
          </w:p>
          <w:p w14:paraId="6428C557">
            <w:pPr>
              <w:spacing w:after="80" w:line="336" w:lineRule="auto"/>
              <w:ind w:firstLine="480"/>
              <w:jc w:val="both"/>
            </w:pPr>
            <w:r>
              <w:rPr>
                <w:rFonts w:ascii="Times New Roman" w:hAnsi="Times New Roman" w:eastAsia="宋体"/>
                <w:b w:val="0"/>
                <w:sz w:val="24"/>
              </w:rPr>
              <w:t>分别运行 5 个题目的 Python 程序，控制台输出各题运行结果。</w:t>
            </w:r>
          </w:p>
          <w:p w14:paraId="65E113A1">
            <w:pPr>
              <w:spacing w:line="300" w:lineRule="auto"/>
              <w:jc w:val="center"/>
            </w:pPr>
            <w:r>
              <w:drawing>
                <wp:inline distT="0" distB="0" distL="114300" distR="114300">
                  <wp:extent cx="5181600" cy="262890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7"/>
                          <a:stretch>
                            <a:fillRect/>
                          </a:stretch>
                        </pic:blipFill>
                        <pic:spPr>
                          <a:xfrm>
                            <a:off x="0" y="0"/>
                            <a:ext cx="5181600" cy="2628900"/>
                          </a:xfrm>
                          <a:prstGeom prst="rect">
                            <a:avLst/>
                          </a:prstGeom>
                          <a:noFill/>
                          <a:ln>
                            <a:noFill/>
                          </a:ln>
                        </pic:spPr>
                      </pic:pic>
                    </a:graphicData>
                  </a:graphic>
                </wp:inline>
              </w:drawing>
            </w:r>
          </w:p>
          <w:p w14:paraId="3CFBBFFD">
            <w:pPr>
              <w:pStyle w:val="2"/>
            </w:pPr>
            <w:r>
              <w:drawing>
                <wp:inline distT="0" distB="0" distL="114300" distR="114300">
                  <wp:extent cx="5266690" cy="3194685"/>
                  <wp:effectExtent l="0" t="0" r="10160" b="571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8"/>
                          <a:stretch>
                            <a:fillRect/>
                          </a:stretch>
                        </pic:blipFill>
                        <pic:spPr>
                          <a:xfrm>
                            <a:off x="0" y="0"/>
                            <a:ext cx="5266690" cy="3194685"/>
                          </a:xfrm>
                          <a:prstGeom prst="rect">
                            <a:avLst/>
                          </a:prstGeom>
                          <a:noFill/>
                          <a:ln>
                            <a:noFill/>
                          </a:ln>
                        </pic:spPr>
                      </pic:pic>
                    </a:graphicData>
                  </a:graphic>
                </wp:inline>
              </w:drawing>
            </w:r>
          </w:p>
          <w:p w14:paraId="64E5603F">
            <w:pPr>
              <w:pStyle w:val="2"/>
            </w:pPr>
            <w:r>
              <w:drawing>
                <wp:inline distT="0" distB="0" distL="114300" distR="114300">
                  <wp:extent cx="5248275" cy="371475"/>
                  <wp:effectExtent l="0" t="0" r="9525" b="952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9"/>
                          <a:stretch>
                            <a:fillRect/>
                          </a:stretch>
                        </pic:blipFill>
                        <pic:spPr>
                          <a:xfrm>
                            <a:off x="0" y="0"/>
                            <a:ext cx="5248275" cy="371475"/>
                          </a:xfrm>
                          <a:prstGeom prst="rect">
                            <a:avLst/>
                          </a:prstGeom>
                          <a:noFill/>
                          <a:ln>
                            <a:noFill/>
                          </a:ln>
                        </pic:spPr>
                      </pic:pic>
                    </a:graphicData>
                  </a:graphic>
                </wp:inline>
              </w:drawing>
            </w:r>
          </w:p>
          <w:p w14:paraId="19645891">
            <w:pPr>
              <w:pStyle w:val="2"/>
            </w:pPr>
            <w:r>
              <w:drawing>
                <wp:inline distT="0" distB="0" distL="114300" distR="114300">
                  <wp:extent cx="5272405" cy="824865"/>
                  <wp:effectExtent l="0" t="0" r="4445" b="1333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0"/>
                          <a:stretch>
                            <a:fillRect/>
                          </a:stretch>
                        </pic:blipFill>
                        <pic:spPr>
                          <a:xfrm>
                            <a:off x="0" y="0"/>
                            <a:ext cx="5272405" cy="824865"/>
                          </a:xfrm>
                          <a:prstGeom prst="rect">
                            <a:avLst/>
                          </a:prstGeom>
                          <a:noFill/>
                          <a:ln>
                            <a:noFill/>
                          </a:ln>
                        </pic:spPr>
                      </pic:pic>
                    </a:graphicData>
                  </a:graphic>
                </wp:inline>
              </w:drawing>
            </w:r>
          </w:p>
          <w:p w14:paraId="5EA6EB93">
            <w:pPr>
              <w:pStyle w:val="2"/>
            </w:pPr>
            <w:r>
              <w:drawing>
                <wp:inline distT="0" distB="0" distL="114300" distR="114300">
                  <wp:extent cx="5270500" cy="2285365"/>
                  <wp:effectExtent l="0" t="0" r="6350" b="635"/>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1"/>
                          <a:stretch>
                            <a:fillRect/>
                          </a:stretch>
                        </pic:blipFill>
                        <pic:spPr>
                          <a:xfrm>
                            <a:off x="0" y="0"/>
                            <a:ext cx="5270500" cy="2285365"/>
                          </a:xfrm>
                          <a:prstGeom prst="rect">
                            <a:avLst/>
                          </a:prstGeom>
                          <a:noFill/>
                          <a:ln>
                            <a:noFill/>
                          </a:ln>
                        </pic:spPr>
                      </pic:pic>
                    </a:graphicData>
                  </a:graphic>
                </wp:inline>
              </w:drawing>
            </w:r>
          </w:p>
          <w:p w14:paraId="65E113A2">
            <w:pPr>
              <w:spacing w:line="300" w:lineRule="auto"/>
              <w:jc w:val="center"/>
            </w:pPr>
          </w:p>
          <w:p w14:paraId="65E113A3">
            <w:pPr>
              <w:spacing w:line="300" w:lineRule="auto"/>
            </w:pPr>
          </w:p>
          <w:p w14:paraId="65E113C3">
            <w:pPr>
              <w:pStyle w:val="2"/>
            </w:pPr>
          </w:p>
          <w:p w14:paraId="65E113C4">
            <w:pPr>
              <w:pStyle w:val="2"/>
            </w:pPr>
          </w:p>
          <w:p w14:paraId="65E113C5">
            <w:pPr>
              <w:pStyle w:val="2"/>
            </w:pPr>
          </w:p>
          <w:p w14:paraId="65E113C6">
            <w:pPr>
              <w:pStyle w:val="2"/>
            </w:pPr>
          </w:p>
          <w:p w14:paraId="65E113C7">
            <w:pPr>
              <w:pStyle w:val="2"/>
            </w:pPr>
          </w:p>
          <w:p w14:paraId="65E113C8">
            <w:pPr>
              <w:pStyle w:val="2"/>
            </w:pPr>
          </w:p>
        </w:tc>
      </w:tr>
      <w:tr w14:paraId="65E11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3" w:type="dxa"/>
          <w:trHeight w:val="13740" w:hRule="atLeast"/>
        </w:trPr>
        <w:tc>
          <w:tcPr>
            <w:tcW w:w="8296" w:type="dxa"/>
            <w:gridSpan w:val="5"/>
          </w:tcPr>
          <w:p w14:paraId="65E113CA">
            <w:pPr>
              <w:spacing w:before="156" w:beforeLines="50" w:after="156" w:afterLines="50" w:line="300" w:lineRule="auto"/>
              <w:rPr>
                <w:b/>
                <w:bCs/>
                <w:sz w:val="28"/>
                <w:szCs w:val="28"/>
              </w:rPr>
            </w:pPr>
            <w:r>
              <w:rPr>
                <w:rFonts w:hint="eastAsia"/>
                <w:b/>
                <w:bCs/>
                <w:sz w:val="28"/>
                <w:szCs w:val="28"/>
              </w:rPr>
              <w:t>四、实验总结（认真写出自己在实验中遇到问题、解决方法、以及实验的体会、收获等）</w:t>
            </w:r>
          </w:p>
          <w:p w14:paraId="065CF01A">
            <w:pPr>
              <w:spacing w:after="80" w:line="336" w:lineRule="auto"/>
              <w:ind w:firstLine="480"/>
              <w:jc w:val="both"/>
            </w:pPr>
            <w:r>
              <w:rPr>
                <w:rFonts w:ascii="Times New Roman" w:hAnsi="Times New Roman" w:eastAsia="宋体"/>
                <w:b w:val="0"/>
                <w:sz w:val="24"/>
              </w:rPr>
              <w:t>（一）遇到的问题与解决方法：</w:t>
            </w:r>
          </w:p>
          <w:p w14:paraId="1EEAB5CE">
            <w:pPr>
              <w:spacing w:after="80" w:line="336" w:lineRule="auto"/>
              <w:ind w:firstLine="480"/>
              <w:jc w:val="both"/>
            </w:pPr>
            <w:r>
              <w:rPr>
                <w:rFonts w:ascii="Times New Roman" w:hAnsi="Times New Roman" w:eastAsia="宋体"/>
                <w:b w:val="0"/>
                <w:sz w:val="24"/>
              </w:rPr>
              <w:t>1. 输入类型转换：input() 返回字符串，需用 int() 转换为整数后才能参与运算，否则会报类型错误，通过显式类型转换解决。</w:t>
            </w:r>
          </w:p>
          <w:p w14:paraId="7946739B">
            <w:pPr>
              <w:spacing w:after="80" w:line="336" w:lineRule="auto"/>
              <w:ind w:firstLine="480"/>
              <w:jc w:val="both"/>
            </w:pPr>
            <w:r>
              <w:rPr>
                <w:rFonts w:ascii="Times New Roman" w:hAnsi="Times New Roman" w:eastAsia="宋体"/>
                <w:b w:val="0"/>
                <w:sz w:val="24"/>
              </w:rPr>
              <w:t>2. 多分支判断顺序：成绩分级时若条件顺序不当会导致误判，通过从高到低依次用 if-elif 判断保证正确性。</w:t>
            </w:r>
          </w:p>
          <w:p w14:paraId="63D12208">
            <w:pPr>
              <w:spacing w:after="80" w:line="336" w:lineRule="auto"/>
              <w:ind w:firstLine="480"/>
              <w:jc w:val="both"/>
            </w:pPr>
            <w:r>
              <w:rPr>
                <w:rFonts w:ascii="Times New Roman" w:hAnsi="Times New Roman" w:eastAsia="宋体"/>
                <w:b w:val="0"/>
                <w:sz w:val="24"/>
              </w:rPr>
              <w:t>3. 边界与特殊值：列表处理中对 0 的“跳过不处理”单独用 else 分支处理，避免逻辑遗漏。</w:t>
            </w:r>
          </w:p>
          <w:p w14:paraId="2EFB3863">
            <w:pPr>
              <w:spacing w:after="80" w:line="336" w:lineRule="auto"/>
              <w:ind w:firstLine="480"/>
              <w:jc w:val="both"/>
            </w:pPr>
            <w:r>
              <w:rPr>
                <w:rFonts w:ascii="Times New Roman" w:hAnsi="Times New Roman" w:eastAsia="宋体"/>
                <w:b w:val="0"/>
                <w:sz w:val="24"/>
              </w:rPr>
              <w:t>（二）体会与收获：通过本实验，我熟练掌握了 Python 的列表、循环、条件判断与函数定义等基础语法，理解了列表推导、字典统计等常用技巧，提升了将实际问题分解为程序逻辑的编程思维，为后续的数据分析与系统开发打下了坚实基础。</w:t>
            </w:r>
          </w:p>
          <w:p w14:paraId="65E113CB">
            <w:pPr>
              <w:spacing w:line="300" w:lineRule="auto"/>
              <w:rPr>
                <w:b/>
                <w:bCs/>
              </w:rPr>
            </w:pPr>
          </w:p>
          <w:p w14:paraId="65E113CC">
            <w:pPr>
              <w:spacing w:line="300" w:lineRule="auto"/>
              <w:rPr>
                <w:b/>
                <w:bCs/>
                <w:sz w:val="36"/>
                <w:szCs w:val="36"/>
              </w:rPr>
            </w:pPr>
          </w:p>
        </w:tc>
      </w:tr>
      <w:tr w14:paraId="65E11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dxa"/>
          </w:tcPr>
          <w:p w14:paraId="65E113CE">
            <w:pPr>
              <w:rPr>
                <w:b/>
                <w:bCs/>
                <w:sz w:val="36"/>
                <w:szCs w:val="36"/>
              </w:rPr>
            </w:pPr>
            <w:r>
              <w:rPr>
                <w:rFonts w:hint="eastAsia"/>
                <w:b/>
                <w:bCs/>
                <w:sz w:val="28"/>
                <w:szCs w:val="28"/>
              </w:rPr>
              <w:t>实验名称</w:t>
            </w:r>
          </w:p>
        </w:tc>
        <w:tc>
          <w:tcPr>
            <w:tcW w:w="6715" w:type="dxa"/>
            <w:gridSpan w:val="5"/>
          </w:tcPr>
          <w:p w14:paraId="65E113CF">
            <w:pPr>
              <w:rPr>
                <w:b/>
                <w:bCs/>
                <w:sz w:val="36"/>
                <w:szCs w:val="36"/>
              </w:rPr>
            </w:pPr>
            <w:r>
              <w:rPr>
                <w:rFonts w:hint="eastAsia"/>
                <w:b/>
                <w:bCs/>
                <w:sz w:val="36"/>
                <w:szCs w:val="36"/>
              </w:rPr>
              <w:t>综合性实验二</w:t>
            </w:r>
          </w:p>
        </w:tc>
      </w:tr>
      <w:tr w14:paraId="65E11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dxa"/>
          </w:tcPr>
          <w:p w14:paraId="65E113D1">
            <w:pPr>
              <w:rPr>
                <w:b/>
                <w:bCs/>
                <w:sz w:val="28"/>
                <w:szCs w:val="28"/>
              </w:rPr>
            </w:pPr>
            <w:r>
              <w:rPr>
                <w:rFonts w:hint="eastAsia"/>
                <w:b/>
                <w:bCs/>
                <w:sz w:val="28"/>
                <w:szCs w:val="28"/>
              </w:rPr>
              <w:t>实验日期</w:t>
            </w:r>
          </w:p>
        </w:tc>
        <w:tc>
          <w:tcPr>
            <w:tcW w:w="3105" w:type="dxa"/>
            <w:gridSpan w:val="2"/>
          </w:tcPr>
          <w:p w14:paraId="65E113D2">
            <w:pPr>
              <w:rPr>
                <w:rFonts w:hint="eastAsia"/>
                <w:b/>
                <w:bCs/>
                <w:sz w:val="36"/>
                <w:szCs w:val="36"/>
              </w:rPr>
            </w:pPr>
            <w:r>
              <w:rPr>
                <w:rFonts w:hint="eastAsia"/>
                <w:b/>
                <w:bCs/>
                <w:sz w:val="36"/>
                <w:szCs w:val="36"/>
              </w:rPr>
              <w:t>2026.6.4</w:t>
            </w:r>
          </w:p>
        </w:tc>
        <w:tc>
          <w:tcPr>
            <w:tcW w:w="1371" w:type="dxa"/>
          </w:tcPr>
          <w:p w14:paraId="65E113D3">
            <w:pPr>
              <w:rPr>
                <w:b/>
                <w:bCs/>
                <w:sz w:val="36"/>
                <w:szCs w:val="36"/>
              </w:rPr>
            </w:pPr>
            <w:r>
              <w:rPr>
                <w:rFonts w:hint="eastAsia"/>
                <w:b/>
                <w:bCs/>
                <w:sz w:val="28"/>
                <w:szCs w:val="28"/>
              </w:rPr>
              <w:t xml:space="preserve">成 </w:t>
            </w:r>
            <w:r>
              <w:rPr>
                <w:b/>
                <w:bCs/>
                <w:sz w:val="28"/>
                <w:szCs w:val="28"/>
              </w:rPr>
              <w:t xml:space="preserve"> </w:t>
            </w:r>
            <w:r>
              <w:rPr>
                <w:rFonts w:hint="eastAsia"/>
                <w:b/>
                <w:bCs/>
                <w:sz w:val="28"/>
                <w:szCs w:val="28"/>
              </w:rPr>
              <w:t>绩</w:t>
            </w:r>
          </w:p>
        </w:tc>
        <w:tc>
          <w:tcPr>
            <w:tcW w:w="2239" w:type="dxa"/>
            <w:gridSpan w:val="2"/>
          </w:tcPr>
          <w:p w14:paraId="65E113D4">
            <w:pPr>
              <w:rPr>
                <w:b/>
                <w:bCs/>
                <w:sz w:val="36"/>
                <w:szCs w:val="36"/>
              </w:rPr>
            </w:pPr>
          </w:p>
        </w:tc>
      </w:tr>
      <w:tr w14:paraId="65E11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2" w:type="dxa"/>
            <w:gridSpan w:val="2"/>
          </w:tcPr>
          <w:p w14:paraId="65E113D6">
            <w:pPr>
              <w:jc w:val="center"/>
              <w:rPr>
                <w:b/>
                <w:bCs/>
                <w:sz w:val="28"/>
                <w:szCs w:val="28"/>
              </w:rPr>
            </w:pPr>
            <w:r>
              <w:rPr>
                <w:rFonts w:hint="eastAsia"/>
                <w:b/>
                <w:bCs/>
                <w:sz w:val="28"/>
                <w:szCs w:val="28"/>
              </w:rPr>
              <w:t>实验设备及软件/材料</w:t>
            </w:r>
          </w:p>
        </w:tc>
        <w:tc>
          <w:tcPr>
            <w:tcW w:w="5387" w:type="dxa"/>
            <w:gridSpan w:val="4"/>
          </w:tcPr>
          <w:p w14:paraId="65E113D7">
            <w:pPr>
              <w:rPr>
                <w:b/>
                <w:bCs/>
                <w:sz w:val="36"/>
                <w:szCs w:val="36"/>
              </w:rPr>
            </w:pPr>
            <w:r>
              <w:rPr>
                <w:rFonts w:hint="eastAsia"/>
                <w:b/>
                <w:bCs/>
                <w:sz w:val="36"/>
                <w:szCs w:val="36"/>
              </w:rPr>
              <w:t>Anaconda</w:t>
            </w:r>
          </w:p>
        </w:tc>
      </w:tr>
      <w:tr w14:paraId="65E11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6" w:hRule="atLeast"/>
        </w:trPr>
        <w:tc>
          <w:tcPr>
            <w:tcW w:w="8359" w:type="dxa"/>
            <w:gridSpan w:val="6"/>
          </w:tcPr>
          <w:p w14:paraId="65E113D9">
            <w:pPr>
              <w:numPr>
                <w:ilvl w:val="0"/>
                <w:numId w:val="1"/>
              </w:numPr>
              <w:spacing w:before="156" w:beforeLines="50" w:after="156" w:afterLines="50" w:line="300" w:lineRule="auto"/>
              <w:rPr>
                <w:b/>
                <w:bCs/>
                <w:sz w:val="28"/>
                <w:szCs w:val="28"/>
              </w:rPr>
            </w:pPr>
            <w:r>
              <w:rPr>
                <w:rFonts w:hint="eastAsia"/>
                <w:b/>
                <w:bCs/>
                <w:sz w:val="28"/>
                <w:szCs w:val="28"/>
              </w:rPr>
              <w:t>实验目的：</w:t>
            </w:r>
          </w:p>
          <w:p w14:paraId="474CED7C">
            <w:pPr>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编写一个模拟炒股的软件</w:t>
            </w:r>
            <w:r>
              <w:rPr>
                <w:rFonts w:hint="eastAsia"/>
                <w:color w:val="000000" w:themeColor="text1"/>
                <w:sz w:val="24"/>
                <w:szCs w:val="24"/>
                <w14:textFill>
                  <w14:solidFill>
                    <w14:schemeClr w14:val="tx1"/>
                  </w14:solidFill>
                </w14:textFill>
              </w:rPr>
              <w:t>：</w:t>
            </w:r>
            <w:r>
              <w:rPr>
                <w:color w:val="000000" w:themeColor="text1"/>
                <w:sz w:val="24"/>
                <w:szCs w:val="24"/>
                <w14:textFill>
                  <w14:solidFill>
                    <w14:schemeClr w14:val="tx1"/>
                  </w14:solidFill>
                </w14:textFill>
              </w:rPr>
              <w:br w:type="textWrapping"/>
            </w:r>
            <w:r>
              <w:rPr>
                <w:rFonts w:hint="eastAsia"/>
                <w:color w:val="000000" w:themeColor="text1"/>
                <w:sz w:val="24"/>
                <w:szCs w:val="24"/>
                <w14:textFill>
                  <w14:solidFill>
                    <w14:schemeClr w14:val="tx1"/>
                  </w14:solidFill>
                </w14:textFill>
              </w:rPr>
              <w:t>1. 保存为本地运行的</w:t>
            </w:r>
            <w:r>
              <w:rPr>
                <w:color w:val="000000" w:themeColor="text1"/>
                <w:sz w:val="24"/>
                <w:szCs w:val="24"/>
                <w14:textFill>
                  <w14:solidFill>
                    <w14:schemeClr w14:val="tx1"/>
                  </w14:solidFill>
                </w14:textFill>
              </w:rPr>
              <w:t xml:space="preserve">html </w:t>
            </w:r>
          </w:p>
          <w:p w14:paraId="6D3F8350">
            <w:pPr>
              <w:pStyle w:val="2"/>
              <w:rPr>
                <w:color w:val="000000" w:themeColor="text1"/>
                <w:kern w:val="2"/>
                <w:sz w:val="24"/>
                <w:szCs w:val="24"/>
                <w14:textFill>
                  <w14:solidFill>
                    <w14:schemeClr w14:val="tx1"/>
                  </w14:solidFill>
                </w14:textFill>
              </w:rPr>
            </w:pPr>
            <w:r>
              <w:rPr>
                <w:rFonts w:hint="eastAsia"/>
                <w:color w:val="000000" w:themeColor="text1"/>
                <w:kern w:val="2"/>
                <w:sz w:val="24"/>
                <w:szCs w:val="24"/>
                <w14:textFill>
                  <w14:solidFill>
                    <w14:schemeClr w14:val="tx1"/>
                  </w14:solidFill>
                </w14:textFill>
              </w:rPr>
              <w:t>2. 先写流程图，再写实验内容分析和设计方案</w:t>
            </w:r>
          </w:p>
          <w:p w14:paraId="389D8907">
            <w:pPr>
              <w:pStyle w:val="2"/>
              <w:rPr>
                <w:color w:val="000000" w:themeColor="text1"/>
                <w:kern w:val="2"/>
                <w:sz w:val="24"/>
                <w:szCs w:val="24"/>
                <w14:textFill>
                  <w14:solidFill>
                    <w14:schemeClr w14:val="tx1"/>
                  </w14:solidFill>
                </w14:textFill>
              </w:rPr>
            </w:pPr>
            <w:r>
              <w:rPr>
                <w:rFonts w:hint="eastAsia"/>
                <w:color w:val="000000" w:themeColor="text1"/>
                <w:kern w:val="2"/>
                <w:sz w:val="24"/>
                <w:szCs w:val="24"/>
                <w14:textFill>
                  <w14:solidFill>
                    <w14:schemeClr w14:val="tx1"/>
                  </w14:solidFill>
                </w14:textFill>
              </w:rPr>
              <w:t>3. 模拟股票要有股价图，要有数据</w:t>
            </w:r>
          </w:p>
          <w:p w14:paraId="0E9E99DA">
            <w:pPr>
              <w:pStyle w:val="2"/>
              <w:rPr>
                <w:color w:val="000000" w:themeColor="text1"/>
                <w:kern w:val="2"/>
                <w:sz w:val="24"/>
                <w:szCs w:val="24"/>
                <w14:textFill>
                  <w14:solidFill>
                    <w14:schemeClr w14:val="tx1"/>
                  </w14:solidFill>
                </w14:textFill>
              </w:rPr>
            </w:pPr>
            <w:r>
              <w:rPr>
                <w:rFonts w:hint="eastAsia"/>
                <w:color w:val="000000" w:themeColor="text1"/>
                <w:kern w:val="2"/>
                <w:sz w:val="24"/>
                <w:szCs w:val="24"/>
                <w14:textFill>
                  <w14:solidFill>
                    <w14:schemeClr w14:val="tx1"/>
                  </w14:solidFill>
                </w14:textFill>
              </w:rPr>
              <w:t>4. 功能越多得分越高</w:t>
            </w:r>
          </w:p>
          <w:p w14:paraId="65E113DC">
            <w:pPr>
              <w:pStyle w:val="2"/>
              <w:rPr>
                <w:rFonts w:hint="eastAsia"/>
                <w:color w:val="000000" w:themeColor="text1"/>
                <w:kern w:val="2"/>
                <w:sz w:val="24"/>
                <w:szCs w:val="24"/>
                <w14:textFill>
                  <w14:solidFill>
                    <w14:schemeClr w14:val="tx1"/>
                  </w14:solidFill>
                </w14:textFill>
              </w:rPr>
            </w:pPr>
            <w:r>
              <w:rPr>
                <w:rFonts w:hint="eastAsia"/>
                <w:color w:val="000000" w:themeColor="text1"/>
                <w:kern w:val="2"/>
                <w:sz w:val="24"/>
                <w:szCs w:val="24"/>
                <w14:textFill>
                  <w14:solidFill>
                    <w14:schemeClr w14:val="tx1"/>
                  </w14:solidFill>
                </w14:textFill>
              </w:rPr>
              <w:t>5. 实验结果部分要自己截图，测试，分析结果</w:t>
            </w:r>
          </w:p>
          <w:p w14:paraId="65E113DD">
            <w:pPr>
              <w:spacing w:before="156" w:beforeLines="50" w:after="156" w:afterLines="50" w:line="300" w:lineRule="auto"/>
              <w:rPr>
                <w:b/>
                <w:bCs/>
                <w:sz w:val="28"/>
                <w:szCs w:val="28"/>
              </w:rPr>
            </w:pPr>
          </w:p>
          <w:p w14:paraId="65E113DE">
            <w:pPr>
              <w:spacing w:before="156" w:beforeLines="50" w:after="156" w:afterLines="50" w:line="300" w:lineRule="auto"/>
              <w:rPr>
                <w:b/>
                <w:bCs/>
                <w:sz w:val="28"/>
                <w:szCs w:val="28"/>
              </w:rPr>
            </w:pPr>
            <w:r>
              <w:rPr>
                <w:rFonts w:hint="eastAsia"/>
                <w:b/>
                <w:bCs/>
                <w:sz w:val="28"/>
                <w:szCs w:val="28"/>
              </w:rPr>
              <w:t>二、实验内容及步骤：</w:t>
            </w:r>
          </w:p>
          <w:p w14:paraId="72DD9B36">
            <w:pPr>
              <w:spacing w:after="80"/>
            </w:pPr>
            <w:r>
              <w:rPr>
                <w:rFonts w:ascii="Times New Roman" w:hAnsi="Times New Roman" w:eastAsia="宋体"/>
                <w:b/>
                <w:sz w:val="28"/>
              </w:rPr>
              <w:t>2.1 实验内容分析</w:t>
            </w:r>
          </w:p>
          <w:p w14:paraId="0F9FCB6F">
            <w:pPr>
              <w:spacing w:after="80" w:line="336" w:lineRule="auto"/>
              <w:ind w:firstLine="480"/>
              <w:jc w:val="both"/>
            </w:pPr>
            <w:r>
              <w:rPr>
                <w:rFonts w:ascii="Times New Roman" w:hAnsi="Times New Roman" w:eastAsia="宋体"/>
                <w:b w:val="0"/>
                <w:sz w:val="24"/>
              </w:rPr>
              <w:t>本实验设计并实现了一个完全本地运行的“模拟炒股交易系统”，以单个 HTML 文件承载，无需联网、双击即可在浏览器中打开运行。系统内置 8 只蓝筹股票的行情数据，通过随机游走（Random Walk）模型实时生成股价波动，模拟真实股市的连续竞价行情；用户可查看 K 线图、分时图、均线与成交量等行情信息，并进行买入、卖出操作，系统实时计算账户可用资金、持仓市值、盈亏与收益率，从而完整复现一次股票模拟交易的全过程。</w:t>
            </w:r>
          </w:p>
          <w:p w14:paraId="35DFD04C">
            <w:pPr>
              <w:spacing w:after="80"/>
            </w:pPr>
            <w:r>
              <w:rPr>
                <w:rFonts w:ascii="Times New Roman" w:hAnsi="Times New Roman" w:eastAsia="宋体"/>
                <w:b/>
                <w:sz w:val="28"/>
              </w:rPr>
              <w:t>2.2 程序流程图</w:t>
            </w:r>
          </w:p>
          <w:p w14:paraId="280B950E">
            <w:pPr>
              <w:jc w:val="center"/>
            </w:pPr>
            <w:r>
              <w:drawing>
                <wp:inline distT="0" distB="0" distL="114300" distR="114300">
                  <wp:extent cx="3291840" cy="468630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2"/>
                          <a:stretch>
                            <a:fillRect/>
                          </a:stretch>
                        </pic:blipFill>
                        <pic:spPr>
                          <a:xfrm>
                            <a:off x="0" y="0"/>
                            <a:ext cx="3291840" cy="4686413"/>
                          </a:xfrm>
                          <a:prstGeom prst="rect">
                            <a:avLst/>
                          </a:prstGeom>
                        </pic:spPr>
                      </pic:pic>
                    </a:graphicData>
                  </a:graphic>
                </wp:inline>
              </w:drawing>
            </w:r>
          </w:p>
          <w:p w14:paraId="4296EBC9">
            <w:pPr>
              <w:jc w:val="center"/>
            </w:pPr>
            <w:r>
              <w:rPr>
                <w:rFonts w:ascii="Times New Roman" w:hAnsi="Times New Roman" w:eastAsia="宋体"/>
                <w:b w:val="0"/>
                <w:sz w:val="21"/>
              </w:rPr>
              <w:t>图2-1  模拟炒股交易系统程序流程图</w:t>
            </w:r>
          </w:p>
          <w:p w14:paraId="28E764E6">
            <w:pPr>
              <w:spacing w:after="80"/>
            </w:pPr>
            <w:r>
              <w:rPr>
                <w:rFonts w:ascii="Times New Roman" w:hAnsi="Times New Roman" w:eastAsia="宋体"/>
                <w:b/>
                <w:sz w:val="28"/>
              </w:rPr>
              <w:t>2.3 系统设计方案</w:t>
            </w:r>
          </w:p>
          <w:p w14:paraId="66727C42">
            <w:pPr>
              <w:spacing w:after="80" w:line="336" w:lineRule="auto"/>
              <w:ind w:firstLine="480"/>
              <w:jc w:val="both"/>
            </w:pPr>
            <w:r>
              <w:rPr>
                <w:rFonts w:ascii="Times New Roman" w:hAnsi="Times New Roman" w:eastAsia="宋体"/>
                <w:b w:val="0"/>
                <w:sz w:val="24"/>
              </w:rPr>
              <w:t>系统采用模块化设计，主要由以下五个功能模块构成：</w:t>
            </w:r>
          </w:p>
          <w:p w14:paraId="1B9EE881">
            <w:pPr>
              <w:spacing w:after="80" w:line="336" w:lineRule="auto"/>
              <w:ind w:firstLine="480"/>
              <w:jc w:val="both"/>
            </w:pPr>
            <w:r>
              <w:rPr>
                <w:rFonts w:ascii="Times New Roman" w:hAnsi="Times New Roman" w:eastAsia="宋体"/>
                <w:b w:val="0"/>
                <w:sz w:val="24"/>
              </w:rPr>
              <w:t>（1）行情数据模块：采用随机游走算法为每只股票生成历史日 K 线（开盘价、最高价、最低价、收盘价、成交量）及实时 tick 价格，定时器按设定速度刷新，模拟连续行情变化。</w:t>
            </w:r>
          </w:p>
          <w:p w14:paraId="471133F0">
            <w:pPr>
              <w:spacing w:after="80" w:line="336" w:lineRule="auto"/>
              <w:ind w:firstLine="480"/>
              <w:jc w:val="both"/>
            </w:pPr>
            <w:r>
              <w:rPr>
                <w:rFonts w:ascii="Times New Roman" w:hAnsi="Times New Roman" w:eastAsia="宋体"/>
                <w:b w:val="0"/>
                <w:sz w:val="24"/>
              </w:rPr>
              <w:t>（2）行情展示模块：使用 HTML5 Canvas 自主绘制蜡烛图、均线（MA5/MA10/MA20）、成交量柱状图与分时走势图，支持 K 线/分时切换，遵循 A 股“红涨绿跌”习惯。</w:t>
            </w:r>
          </w:p>
          <w:p w14:paraId="106FE3C5">
            <w:pPr>
              <w:spacing w:after="80" w:line="336" w:lineRule="auto"/>
              <w:ind w:firstLine="480"/>
              <w:jc w:val="both"/>
            </w:pPr>
            <w:r>
              <w:rPr>
                <w:rFonts w:ascii="Times New Roman" w:hAnsi="Times New Roman" w:eastAsia="宋体"/>
                <w:b w:val="0"/>
                <w:sz w:val="24"/>
              </w:rPr>
              <w:t>（3）交易撮合模块：实现按“手”（100 股）买入/卖出，计算佣金（万分之三，最低 5 元）与印花税（千分之一，卖出收取），并严格校验可用资金与持仓数量。</w:t>
            </w:r>
          </w:p>
          <w:p w14:paraId="496EA5FF">
            <w:pPr>
              <w:spacing w:after="80" w:line="336" w:lineRule="auto"/>
              <w:ind w:firstLine="480"/>
              <w:jc w:val="both"/>
            </w:pPr>
            <w:r>
              <w:rPr>
                <w:rFonts w:ascii="Times New Roman" w:hAnsi="Times New Roman" w:eastAsia="宋体"/>
                <w:b w:val="0"/>
                <w:sz w:val="24"/>
              </w:rPr>
              <w:t>（4）账户管理模块：实时统计可用资金、持仓市值、总资产、累计盈亏与总收益率，维护持仓明细与成交记录，并借助 localStorage 持久化保存账户状态。</w:t>
            </w:r>
          </w:p>
          <w:p w14:paraId="10813875">
            <w:pPr>
              <w:spacing w:after="80" w:line="336" w:lineRule="auto"/>
              <w:ind w:firstLine="480"/>
              <w:jc w:val="both"/>
            </w:pPr>
            <w:r>
              <w:rPr>
                <w:rFonts w:ascii="Times New Roman" w:hAnsi="Times New Roman" w:eastAsia="宋体"/>
                <w:b w:val="0"/>
                <w:sz w:val="24"/>
              </w:rPr>
              <w:t>（5）辅助功能模块：提供行情暂停/继续、刷新速度调节（慢/中/快）、账户一键重置、涨跌幅排行榜等功能，提升系统完整度与可用性。</w:t>
            </w:r>
          </w:p>
          <w:p w14:paraId="6E0E44EB">
            <w:pPr>
              <w:spacing w:after="80" w:line="336" w:lineRule="auto"/>
              <w:ind w:firstLine="480"/>
              <w:jc w:val="both"/>
            </w:pPr>
            <w:r>
              <w:rPr>
                <w:rFonts w:ascii="Times New Roman" w:hAnsi="Times New Roman" w:eastAsia="宋体"/>
                <w:b w:val="0"/>
                <w:sz w:val="24"/>
              </w:rPr>
              <w:t>技术栈：HTML5 + CSS3 + 原生 JavaScript，图表完全由 Canvas 绘制，零第三方依赖。核心买入逻辑的关键代码如下：</w:t>
            </w:r>
          </w:p>
          <w:p w14:paraId="7BD21576">
            <w:pPr>
              <w:spacing w:after="0"/>
            </w:pPr>
            <w:r>
              <w:rPr>
                <w:rFonts w:ascii="Consolas" w:hAnsi="Consolas" w:eastAsia="宋体"/>
                <w:b w:val="0"/>
                <w:sz w:val="18"/>
              </w:rPr>
              <w:t>function buy(){</w:t>
            </w:r>
          </w:p>
          <w:p w14:paraId="2C54B4D9">
            <w:pPr>
              <w:spacing w:after="0"/>
            </w:pPr>
            <w:r>
              <w:rPr>
                <w:rFonts w:ascii="Consolas" w:hAnsi="Consolas" w:eastAsia="宋体"/>
                <w:b w:val="0"/>
                <w:sz w:val="18"/>
              </w:rPr>
              <w:t xml:space="preserve">  const shares = qty * 100;            // 手数转换为股数</w:t>
            </w:r>
          </w:p>
          <w:p w14:paraId="302125A0">
            <w:pPr>
              <w:spacing w:after="0"/>
            </w:pPr>
            <w:r>
              <w:rPr>
                <w:rFonts w:ascii="Consolas" w:hAnsi="Consolas" w:eastAsia="宋体"/>
                <w:b w:val="0"/>
                <w:sz w:val="18"/>
              </w:rPr>
              <w:t xml:space="preserve">  const amt = shares * price;          // 委托金额</w:t>
            </w:r>
          </w:p>
          <w:p w14:paraId="69E05A12">
            <w:pPr>
              <w:spacing w:after="0"/>
            </w:pPr>
            <w:r>
              <w:rPr>
                <w:rFonts w:ascii="Consolas" w:hAnsi="Consolas" w:eastAsia="宋体"/>
                <w:b w:val="0"/>
                <w:sz w:val="18"/>
              </w:rPr>
              <w:t xml:space="preserve">  const fee = Math.max(5, amt*0.0003); // 佣金(万三, 最低5元)</w:t>
            </w:r>
          </w:p>
          <w:p w14:paraId="50836CFB">
            <w:pPr>
              <w:spacing w:after="0"/>
            </w:pPr>
            <w:r>
              <w:rPr>
                <w:rFonts w:ascii="Consolas" w:hAnsi="Consolas" w:eastAsia="宋体"/>
                <w:b w:val="0"/>
                <w:sz w:val="18"/>
              </w:rPr>
              <w:t xml:space="preserve">  if (amt + fee &gt; account.cash) {      // 资金充足性校验</w:t>
            </w:r>
          </w:p>
          <w:p w14:paraId="1BE00792">
            <w:pPr>
              <w:spacing w:after="0"/>
            </w:pPr>
            <w:r>
              <w:rPr>
                <w:rFonts w:ascii="Consolas" w:hAnsi="Consolas" w:eastAsia="宋体"/>
                <w:b w:val="0"/>
                <w:sz w:val="18"/>
              </w:rPr>
              <w:t xml:space="preserve">    return toast('可用资金不足');</w:t>
            </w:r>
          </w:p>
          <w:p w14:paraId="5BC3234B">
            <w:pPr>
              <w:spacing w:after="0"/>
            </w:pPr>
            <w:r>
              <w:rPr>
                <w:rFonts w:ascii="Consolas" w:hAnsi="Consolas" w:eastAsia="宋体"/>
                <w:b w:val="0"/>
                <w:sz w:val="18"/>
              </w:rPr>
              <w:t xml:space="preserve">  }</w:t>
            </w:r>
          </w:p>
          <w:p w14:paraId="4AC53C3A">
            <w:pPr>
              <w:spacing w:after="0"/>
            </w:pPr>
            <w:r>
              <w:rPr>
                <w:rFonts w:ascii="Consolas" w:hAnsi="Consolas" w:eastAsia="宋体"/>
                <w:b w:val="0"/>
                <w:sz w:val="18"/>
              </w:rPr>
              <w:t xml:space="preserve">  account.cash -= amt + fee;           // 扣减资金</w:t>
            </w:r>
          </w:p>
          <w:p w14:paraId="02514849">
            <w:pPr>
              <w:spacing w:after="0"/>
            </w:pPr>
            <w:r>
              <w:rPr>
                <w:rFonts w:ascii="Consolas" w:hAnsi="Consolas" w:eastAsia="宋体"/>
                <w:b w:val="0"/>
                <w:sz w:val="18"/>
              </w:rPr>
              <w:t xml:space="preserve">  account.positions[code].shares += shares; // 更新持仓</w:t>
            </w:r>
          </w:p>
          <w:p w14:paraId="38B5F785">
            <w:pPr>
              <w:spacing w:after="0"/>
            </w:pPr>
            <w:r>
              <w:rPr>
                <w:rFonts w:ascii="Consolas" w:hAnsi="Consolas" w:eastAsia="宋体"/>
                <w:b w:val="0"/>
                <w:sz w:val="18"/>
              </w:rPr>
              <w:t>}</w:t>
            </w:r>
          </w:p>
          <w:p w14:paraId="65E113E2">
            <w:pPr>
              <w:spacing w:before="156" w:beforeLines="50" w:after="156" w:afterLines="50" w:line="300" w:lineRule="auto"/>
              <w:rPr>
                <w:b/>
                <w:bCs/>
                <w:sz w:val="28"/>
                <w:szCs w:val="28"/>
              </w:rPr>
            </w:pPr>
            <w:r>
              <w:rPr>
                <w:rFonts w:hint="eastAsia"/>
                <w:b/>
                <w:bCs/>
                <w:sz w:val="28"/>
                <w:szCs w:val="28"/>
              </w:rPr>
              <w:t>三、实验结果：</w:t>
            </w:r>
          </w:p>
          <w:p w14:paraId="5B0ED29C">
            <w:pPr>
              <w:spacing w:after="80" w:line="336" w:lineRule="auto"/>
              <w:ind w:firstLine="480"/>
              <w:jc w:val="both"/>
            </w:pPr>
            <w:r>
              <w:rPr>
                <w:rFonts w:ascii="Times New Roman" w:hAnsi="Times New Roman" w:eastAsia="宋体"/>
                <w:b w:val="0"/>
                <w:sz w:val="24"/>
              </w:rPr>
              <w:t>双击运行 index.html 后，系统主界面如图 2-2 所示，包含顶部账户资产面板、左侧自选股列表、中部 K 线图与成交量、右侧交易下单及持仓/成交记录、底部涨跌幅排行榜。</w:t>
            </w:r>
          </w:p>
          <w:p w14:paraId="48B5D6B2">
            <w:pPr>
              <w:jc w:val="center"/>
            </w:pPr>
            <w:r>
              <w:drawing>
                <wp:inline distT="0" distB="0" distL="114300" distR="114300">
                  <wp:extent cx="5120640" cy="4044950"/>
                  <wp:effectExtent l="0" t="0" r="381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3"/>
                          <a:stretch>
                            <a:fillRect/>
                          </a:stretch>
                        </pic:blipFill>
                        <pic:spPr>
                          <a:xfrm>
                            <a:off x="0" y="0"/>
                            <a:ext cx="5120640" cy="4045305"/>
                          </a:xfrm>
                          <a:prstGeom prst="rect">
                            <a:avLst/>
                          </a:prstGeom>
                        </pic:spPr>
                      </pic:pic>
                    </a:graphicData>
                  </a:graphic>
                </wp:inline>
              </w:drawing>
            </w:r>
          </w:p>
          <w:p w14:paraId="35B7F16F">
            <w:pPr>
              <w:jc w:val="center"/>
            </w:pPr>
            <w:r>
              <w:rPr>
                <w:rFonts w:ascii="Times New Roman" w:hAnsi="Times New Roman" w:eastAsia="宋体"/>
                <w:b w:val="0"/>
                <w:sz w:val="21"/>
              </w:rPr>
              <w:t>图2-2  系统主界面（账户面板·K线图·交易面板·涨跌幅排行）</w:t>
            </w:r>
          </w:p>
          <w:p w14:paraId="6C2B631A">
            <w:pPr>
              <w:spacing w:after="80" w:line="336" w:lineRule="auto"/>
              <w:ind w:firstLine="480"/>
              <w:jc w:val="both"/>
            </w:pPr>
            <w:r>
              <w:rPr>
                <w:rFonts w:ascii="Times New Roman" w:hAnsi="Times New Roman" w:eastAsia="宋体"/>
                <w:b w:val="0"/>
                <w:sz w:val="24"/>
              </w:rPr>
              <w:t>在交易面板中选择股票、输入手数后点击“买入”，系统完成撮合并更新持仓与成交记录，账户的总资产、持仓市值与累计盈亏同步变化，如图 2-3 所示。</w:t>
            </w:r>
          </w:p>
          <w:p w14:paraId="5BF44AB6">
            <w:pPr>
              <w:jc w:val="center"/>
            </w:pPr>
            <w:r>
              <w:drawing>
                <wp:inline distT="0" distB="0" distL="114300" distR="114300">
                  <wp:extent cx="5120640" cy="4447540"/>
                  <wp:effectExtent l="0" t="0" r="3810" b="1016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4"/>
                          <a:stretch>
                            <a:fillRect/>
                          </a:stretch>
                        </pic:blipFill>
                        <pic:spPr>
                          <a:xfrm>
                            <a:off x="0" y="0"/>
                            <a:ext cx="5120640" cy="4448129"/>
                          </a:xfrm>
                          <a:prstGeom prst="rect">
                            <a:avLst/>
                          </a:prstGeom>
                        </pic:spPr>
                      </pic:pic>
                    </a:graphicData>
                  </a:graphic>
                </wp:inline>
              </w:drawing>
            </w:r>
          </w:p>
          <w:p w14:paraId="307B3711">
            <w:pPr>
              <w:jc w:val="center"/>
            </w:pPr>
            <w:r>
              <w:rPr>
                <w:rFonts w:ascii="Times New Roman" w:hAnsi="Times New Roman" w:eastAsia="宋体"/>
                <w:b w:val="0"/>
                <w:sz w:val="21"/>
              </w:rPr>
              <w:t>图2-3  模拟买入多只股票后的持仓明细与成交记录</w:t>
            </w:r>
          </w:p>
          <w:p w14:paraId="4C6FF540">
            <w:pPr>
              <w:spacing w:after="80" w:line="336" w:lineRule="auto"/>
              <w:ind w:firstLine="480"/>
              <w:jc w:val="both"/>
            </w:pPr>
            <w:r>
              <w:rPr>
                <w:rFonts w:ascii="Times New Roman" w:hAnsi="Times New Roman" w:eastAsia="宋体"/>
                <w:b w:val="0"/>
                <w:sz w:val="24"/>
              </w:rPr>
              <w:t>点击“分时图”可切换为当日分时走势，如图 2-4 所示。</w:t>
            </w:r>
          </w:p>
          <w:p w14:paraId="18A7FC08">
            <w:pPr>
              <w:jc w:val="center"/>
            </w:pPr>
            <w:r>
              <w:drawing>
                <wp:inline distT="0" distB="0" distL="114300" distR="114300">
                  <wp:extent cx="5120640" cy="4447540"/>
                  <wp:effectExtent l="0" t="0" r="3810"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5"/>
                          <a:stretch>
                            <a:fillRect/>
                          </a:stretch>
                        </pic:blipFill>
                        <pic:spPr>
                          <a:xfrm>
                            <a:off x="0" y="0"/>
                            <a:ext cx="5120640" cy="4448129"/>
                          </a:xfrm>
                          <a:prstGeom prst="rect">
                            <a:avLst/>
                          </a:prstGeom>
                        </pic:spPr>
                      </pic:pic>
                    </a:graphicData>
                  </a:graphic>
                </wp:inline>
              </w:drawing>
            </w:r>
          </w:p>
          <w:p w14:paraId="4C5C5930">
            <w:pPr>
              <w:jc w:val="center"/>
            </w:pPr>
            <w:r>
              <w:rPr>
                <w:rFonts w:ascii="Times New Roman" w:hAnsi="Times New Roman" w:eastAsia="宋体"/>
                <w:b w:val="0"/>
                <w:sz w:val="21"/>
              </w:rPr>
              <w:t>图2-4  个股分时走势图</w:t>
            </w:r>
          </w:p>
          <w:p w14:paraId="65E113E4">
            <w:pPr>
              <w:spacing w:line="300" w:lineRule="auto"/>
              <w:jc w:val="center"/>
            </w:pPr>
          </w:p>
          <w:p w14:paraId="65E113E5">
            <w:pPr>
              <w:spacing w:line="300" w:lineRule="auto"/>
              <w:jc w:val="center"/>
            </w:pPr>
          </w:p>
          <w:p w14:paraId="65E113E6">
            <w:pPr>
              <w:spacing w:line="300" w:lineRule="auto"/>
              <w:jc w:val="center"/>
            </w:pPr>
          </w:p>
          <w:p w14:paraId="65E113E7">
            <w:pPr>
              <w:spacing w:line="300" w:lineRule="auto"/>
            </w:pPr>
          </w:p>
          <w:p w14:paraId="65E113E8">
            <w:pPr>
              <w:spacing w:line="300" w:lineRule="auto"/>
            </w:pPr>
          </w:p>
          <w:p w14:paraId="65E113E9">
            <w:pPr>
              <w:spacing w:line="300" w:lineRule="auto"/>
            </w:pPr>
          </w:p>
          <w:p w14:paraId="65E113EA">
            <w:pPr>
              <w:spacing w:line="300" w:lineRule="auto"/>
            </w:pPr>
          </w:p>
          <w:p w14:paraId="65E113EB">
            <w:pPr>
              <w:spacing w:line="300" w:lineRule="auto"/>
            </w:pPr>
          </w:p>
          <w:p w14:paraId="65E113EC">
            <w:pPr>
              <w:spacing w:line="300" w:lineRule="auto"/>
            </w:pPr>
          </w:p>
        </w:tc>
      </w:tr>
      <w:tr w14:paraId="65E11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3" w:type="dxa"/>
          <w:trHeight w:val="13740" w:hRule="atLeast"/>
        </w:trPr>
        <w:tc>
          <w:tcPr>
            <w:tcW w:w="8296" w:type="dxa"/>
            <w:gridSpan w:val="5"/>
          </w:tcPr>
          <w:p w14:paraId="65E113EE">
            <w:pPr>
              <w:spacing w:before="156" w:beforeLines="50" w:after="156" w:afterLines="50" w:line="300" w:lineRule="auto"/>
              <w:rPr>
                <w:b/>
                <w:bCs/>
                <w:sz w:val="28"/>
                <w:szCs w:val="28"/>
              </w:rPr>
            </w:pPr>
            <w:r>
              <w:rPr>
                <w:rFonts w:hint="eastAsia"/>
                <w:b/>
                <w:bCs/>
                <w:sz w:val="28"/>
                <w:szCs w:val="28"/>
              </w:rPr>
              <w:t>四、实验总结（认真写出自己在实验中遇到问题、解决方法、以及实验的体会、收获等）</w:t>
            </w:r>
          </w:p>
          <w:p w14:paraId="55BDB442">
            <w:pPr>
              <w:spacing w:after="80" w:line="336" w:lineRule="auto"/>
              <w:ind w:firstLine="480"/>
              <w:jc w:val="both"/>
            </w:pPr>
            <w:r>
              <w:rPr>
                <w:rFonts w:ascii="Times New Roman" w:hAnsi="Times New Roman" w:eastAsia="宋体"/>
                <w:b w:val="0"/>
                <w:sz w:val="24"/>
              </w:rPr>
              <w:t>（一）遇到的问题与解决方法：</w:t>
            </w:r>
          </w:p>
          <w:p w14:paraId="0599768E">
            <w:pPr>
              <w:spacing w:after="80" w:line="336" w:lineRule="auto"/>
              <w:ind w:firstLine="480"/>
              <w:jc w:val="both"/>
            </w:pPr>
            <w:r>
              <w:rPr>
                <w:rFonts w:ascii="Times New Roman" w:hAnsi="Times New Roman" w:eastAsia="宋体"/>
                <w:b w:val="0"/>
                <w:sz w:val="24"/>
              </w:rPr>
              <w:t>1. K 线图绘制错位、模糊：起初直接用 Canvas 绘图出现坐标错位、图形发虚的问题，后通过将画布 width 属性与其显示宽度同步、并对价格区间做归一化映射，解决了坐标缩放与高清显示问题。</w:t>
            </w:r>
          </w:p>
          <w:p w14:paraId="55A6A77B">
            <w:pPr>
              <w:spacing w:after="80" w:line="336" w:lineRule="auto"/>
              <w:ind w:firstLine="480"/>
              <w:jc w:val="both"/>
            </w:pPr>
            <w:r>
              <w:rPr>
                <w:rFonts w:ascii="Times New Roman" w:hAnsi="Times New Roman" w:eastAsia="宋体"/>
                <w:b w:val="0"/>
                <w:sz w:val="24"/>
              </w:rPr>
              <w:t>2. 渲染中断导致界面空白：调试中发现因覆盖 DOM 节点导致取值为 null 而报错、渲染中断，通过排查报错堆栈、调整 DOM 更新顺序得以修复。</w:t>
            </w:r>
          </w:p>
          <w:p w14:paraId="769CA1D3">
            <w:pPr>
              <w:spacing w:after="80" w:line="336" w:lineRule="auto"/>
              <w:ind w:firstLine="480"/>
              <w:jc w:val="both"/>
            </w:pPr>
            <w:r>
              <w:rPr>
                <w:rFonts w:ascii="Times New Roman" w:hAnsi="Times New Roman" w:eastAsia="宋体"/>
                <w:b w:val="0"/>
                <w:sz w:val="24"/>
              </w:rPr>
              <w:t>3. 交易越界：买卖需严格校验资金与持仓，避免出现负资金或超卖，通过在下单函数中加入条件判断解决。</w:t>
            </w:r>
          </w:p>
          <w:p w14:paraId="41EE68A2">
            <w:pPr>
              <w:spacing w:after="80" w:line="336" w:lineRule="auto"/>
              <w:ind w:firstLine="480"/>
              <w:jc w:val="both"/>
            </w:pPr>
            <w:r>
              <w:rPr>
                <w:rFonts w:ascii="Times New Roman" w:hAnsi="Times New Roman" w:eastAsia="宋体"/>
                <w:b w:val="0"/>
                <w:sz w:val="24"/>
              </w:rPr>
              <w:t>（二）体会与收获：通过本实验，我加深了对 HTML/CSS/JavaScript 前端三件套的理解，掌握了 Canvas 图形绘制、事件驱动编程与 localStorage 本地持久化等技术；同时对股票交易的基本规则（手续费、印花税、持仓盈亏计算）有了更直观的认识，体会到将编程技术应用于金融场景的价值与乐趣。</w:t>
            </w:r>
          </w:p>
          <w:p w14:paraId="65E113EF">
            <w:pPr>
              <w:spacing w:line="300" w:lineRule="auto"/>
              <w:rPr>
                <w:b/>
                <w:bCs/>
              </w:rPr>
            </w:pPr>
          </w:p>
          <w:p w14:paraId="65E113F0">
            <w:pPr>
              <w:spacing w:line="300" w:lineRule="auto"/>
              <w:rPr>
                <w:b/>
                <w:bCs/>
                <w:sz w:val="36"/>
                <w:szCs w:val="36"/>
              </w:rPr>
            </w:pPr>
          </w:p>
        </w:tc>
      </w:tr>
      <w:tr w14:paraId="65E11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dxa"/>
          </w:tcPr>
          <w:p w14:paraId="65E113F2">
            <w:pPr>
              <w:rPr>
                <w:b/>
                <w:bCs/>
                <w:sz w:val="36"/>
                <w:szCs w:val="36"/>
              </w:rPr>
            </w:pPr>
            <w:r>
              <w:rPr>
                <w:rFonts w:hint="eastAsia"/>
                <w:b/>
                <w:bCs/>
                <w:sz w:val="28"/>
                <w:szCs w:val="28"/>
              </w:rPr>
              <w:t>实验名称</w:t>
            </w:r>
          </w:p>
        </w:tc>
        <w:tc>
          <w:tcPr>
            <w:tcW w:w="6715" w:type="dxa"/>
            <w:gridSpan w:val="5"/>
          </w:tcPr>
          <w:p w14:paraId="65E113F3">
            <w:pPr>
              <w:rPr>
                <w:b/>
                <w:bCs/>
                <w:sz w:val="36"/>
                <w:szCs w:val="36"/>
              </w:rPr>
            </w:pPr>
            <w:r>
              <w:rPr>
                <w:rFonts w:hint="eastAsia"/>
                <w:b/>
                <w:bCs/>
                <w:sz w:val="36"/>
                <w:szCs w:val="36"/>
              </w:rPr>
              <w:t>综合性实验三</w:t>
            </w:r>
          </w:p>
        </w:tc>
      </w:tr>
      <w:tr w14:paraId="65E11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4" w:type="dxa"/>
          </w:tcPr>
          <w:p w14:paraId="65E113F5">
            <w:pPr>
              <w:rPr>
                <w:b/>
                <w:bCs/>
                <w:sz w:val="28"/>
                <w:szCs w:val="28"/>
              </w:rPr>
            </w:pPr>
            <w:r>
              <w:rPr>
                <w:rFonts w:hint="eastAsia"/>
                <w:b/>
                <w:bCs/>
                <w:sz w:val="28"/>
                <w:szCs w:val="28"/>
              </w:rPr>
              <w:t>实验日期</w:t>
            </w:r>
          </w:p>
        </w:tc>
        <w:tc>
          <w:tcPr>
            <w:tcW w:w="3105" w:type="dxa"/>
            <w:gridSpan w:val="2"/>
          </w:tcPr>
          <w:p w14:paraId="65E113F6">
            <w:pPr>
              <w:rPr>
                <w:rFonts w:hint="eastAsia"/>
                <w:b/>
                <w:bCs/>
                <w:sz w:val="36"/>
                <w:szCs w:val="36"/>
              </w:rPr>
            </w:pPr>
            <w:r>
              <w:rPr>
                <w:rFonts w:hint="eastAsia"/>
                <w:b/>
                <w:bCs/>
                <w:sz w:val="36"/>
                <w:szCs w:val="36"/>
              </w:rPr>
              <w:t>2026.6.18</w:t>
            </w:r>
          </w:p>
        </w:tc>
        <w:tc>
          <w:tcPr>
            <w:tcW w:w="1371" w:type="dxa"/>
          </w:tcPr>
          <w:p w14:paraId="65E113F7">
            <w:pPr>
              <w:rPr>
                <w:b/>
                <w:bCs/>
                <w:sz w:val="36"/>
                <w:szCs w:val="36"/>
              </w:rPr>
            </w:pPr>
            <w:r>
              <w:rPr>
                <w:rFonts w:hint="eastAsia"/>
                <w:b/>
                <w:bCs/>
                <w:sz w:val="28"/>
                <w:szCs w:val="28"/>
              </w:rPr>
              <w:t xml:space="preserve">成 </w:t>
            </w:r>
            <w:r>
              <w:rPr>
                <w:b/>
                <w:bCs/>
                <w:sz w:val="28"/>
                <w:szCs w:val="28"/>
              </w:rPr>
              <w:t xml:space="preserve"> </w:t>
            </w:r>
            <w:r>
              <w:rPr>
                <w:rFonts w:hint="eastAsia"/>
                <w:b/>
                <w:bCs/>
                <w:sz w:val="28"/>
                <w:szCs w:val="28"/>
              </w:rPr>
              <w:t>绩</w:t>
            </w:r>
          </w:p>
        </w:tc>
        <w:tc>
          <w:tcPr>
            <w:tcW w:w="2239" w:type="dxa"/>
            <w:gridSpan w:val="2"/>
          </w:tcPr>
          <w:p w14:paraId="65E113F8">
            <w:pPr>
              <w:rPr>
                <w:b/>
                <w:bCs/>
                <w:sz w:val="36"/>
                <w:szCs w:val="36"/>
              </w:rPr>
            </w:pPr>
          </w:p>
        </w:tc>
      </w:tr>
      <w:tr w14:paraId="65E11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72" w:type="dxa"/>
            <w:gridSpan w:val="2"/>
          </w:tcPr>
          <w:p w14:paraId="65E113FA">
            <w:pPr>
              <w:jc w:val="center"/>
              <w:rPr>
                <w:b/>
                <w:bCs/>
                <w:sz w:val="28"/>
                <w:szCs w:val="28"/>
              </w:rPr>
            </w:pPr>
            <w:r>
              <w:rPr>
                <w:rFonts w:hint="eastAsia"/>
                <w:b/>
                <w:bCs/>
                <w:sz w:val="28"/>
                <w:szCs w:val="28"/>
              </w:rPr>
              <w:t>实验设备及软件/材料</w:t>
            </w:r>
          </w:p>
        </w:tc>
        <w:tc>
          <w:tcPr>
            <w:tcW w:w="5387" w:type="dxa"/>
            <w:gridSpan w:val="4"/>
          </w:tcPr>
          <w:p w14:paraId="65E113FB">
            <w:pPr>
              <w:rPr>
                <w:b/>
                <w:bCs/>
                <w:sz w:val="36"/>
                <w:szCs w:val="36"/>
              </w:rPr>
            </w:pPr>
            <w:r>
              <w:rPr>
                <w:rFonts w:hint="eastAsia"/>
                <w:b/>
                <w:bCs/>
                <w:sz w:val="36"/>
                <w:szCs w:val="36"/>
              </w:rPr>
              <w:t>Anaconda</w:t>
            </w:r>
          </w:p>
        </w:tc>
      </w:tr>
      <w:tr w14:paraId="65E11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36" w:hRule="atLeast"/>
        </w:trPr>
        <w:tc>
          <w:tcPr>
            <w:tcW w:w="8359" w:type="dxa"/>
            <w:gridSpan w:val="6"/>
          </w:tcPr>
          <w:p w14:paraId="65E113FD">
            <w:pPr>
              <w:numPr>
                <w:ilvl w:val="0"/>
                <w:numId w:val="1"/>
              </w:numPr>
              <w:spacing w:before="156" w:beforeLines="50" w:after="156" w:afterLines="50" w:line="300" w:lineRule="auto"/>
              <w:rPr>
                <w:b/>
                <w:bCs/>
                <w:sz w:val="28"/>
                <w:szCs w:val="28"/>
              </w:rPr>
            </w:pPr>
            <w:r>
              <w:rPr>
                <w:rFonts w:hint="eastAsia"/>
                <w:b/>
                <w:bCs/>
                <w:sz w:val="28"/>
                <w:szCs w:val="28"/>
              </w:rPr>
              <w:t>实验目的：</w:t>
            </w:r>
          </w:p>
          <w:p w14:paraId="56EE1D16">
            <w:pPr>
              <w:pStyle w:val="5"/>
              <w:widowControl/>
              <w:spacing w:beforeAutospacing="0" w:afterAutospacing="0"/>
              <w:ind w:firstLine="480" w:firstLineChars="200"/>
              <w:jc w:val="both"/>
              <w:rPr>
                <w:szCs w:val="24"/>
              </w:rPr>
            </w:pPr>
            <w:r>
              <w:rPr>
                <w:szCs w:val="24"/>
              </w:rPr>
              <w:t>资实践需求日益迫切。本实验聚焦经济分析与股票投资核心场景，要求学生基于Python设计并实现“经济智能分析与模拟交易系统”，该系统需整合数据获取、经济指标分析、股票行情研判、交易策略构建及模拟交易等功能，解决“经济数据与资本市场联动分析”, “投资策略有效性验证”等实际经济问题。通过系统设计与开发，帮助学生掌握经济类应用软件的核心架构设计思路与技术实现方法提升将python技术与经济分析需求深度融合的实践能力，培养理性投资思维与数据驱动的决策意识。</w:t>
            </w:r>
          </w:p>
          <w:p w14:paraId="07DECC6E">
            <w:pPr>
              <w:pStyle w:val="5"/>
              <w:widowControl/>
              <w:spacing w:beforeAutospacing="0" w:afterAutospacing="0"/>
              <w:jc w:val="both"/>
              <w:rPr>
                <w:szCs w:val="24"/>
              </w:rPr>
            </w:pPr>
          </w:p>
          <w:p w14:paraId="09555FF8">
            <w:pPr>
              <w:pStyle w:val="5"/>
              <w:widowControl/>
              <w:spacing w:beforeAutospacing="0" w:afterAutospacing="0"/>
              <w:jc w:val="both"/>
              <w:rPr>
                <w:szCs w:val="24"/>
              </w:rPr>
            </w:pPr>
            <w:r>
              <w:rPr>
                <w:szCs w:val="24"/>
              </w:rPr>
              <w:t>要求1：掌握经济类应用软件的模块化架构设计方法，明确核心功能模块的划分与协同逻辑；</w:t>
            </w:r>
          </w:p>
          <w:p w14:paraId="2B4F75ED">
            <w:pPr>
              <w:pStyle w:val="5"/>
              <w:widowControl/>
              <w:spacing w:beforeAutospacing="0" w:afterAutospacing="0"/>
              <w:jc w:val="both"/>
              <w:rPr>
                <w:szCs w:val="24"/>
              </w:rPr>
            </w:pPr>
          </w:p>
          <w:p w14:paraId="226BCDDB">
            <w:pPr>
              <w:pStyle w:val="5"/>
              <w:widowControl/>
              <w:spacing w:beforeAutospacing="0" w:afterAutospacing="0"/>
              <w:jc w:val="both"/>
              <w:rPr>
                <w:szCs w:val="24"/>
              </w:rPr>
            </w:pPr>
            <w:r>
              <w:rPr>
                <w:szCs w:val="24"/>
              </w:rPr>
              <w:t>要求2：熟练运用Python实现经济数据（宏观经济指标、股票行情数据）的自动化获取与预处理；</w:t>
            </w:r>
          </w:p>
          <w:p w14:paraId="1CC50C59">
            <w:pPr>
              <w:pStyle w:val="5"/>
              <w:widowControl/>
              <w:spacing w:beforeAutospacing="0" w:afterAutospacing="0"/>
              <w:jc w:val="both"/>
              <w:rPr>
                <w:szCs w:val="24"/>
              </w:rPr>
            </w:pPr>
          </w:p>
          <w:p w14:paraId="4E77783D">
            <w:pPr>
              <w:pStyle w:val="5"/>
              <w:widowControl/>
              <w:spacing w:beforeAutospacing="0" w:afterAutospacing="0"/>
              <w:jc w:val="both"/>
              <w:rPr>
                <w:szCs w:val="24"/>
              </w:rPr>
            </w:pPr>
            <w:r>
              <w:rPr>
                <w:szCs w:val="24"/>
              </w:rPr>
              <w:t>要求3：能够设计并开发经济指标分析、股票技术分析及可视化模块，实现数据洞察的直观呈现；</w:t>
            </w:r>
          </w:p>
          <w:p w14:paraId="584CA80E">
            <w:pPr>
              <w:pStyle w:val="5"/>
              <w:widowControl/>
              <w:spacing w:beforeAutospacing="0" w:afterAutospacing="0"/>
              <w:jc w:val="both"/>
              <w:rPr>
                <w:szCs w:val="24"/>
              </w:rPr>
            </w:pPr>
          </w:p>
          <w:p w14:paraId="0FD81082">
            <w:pPr>
              <w:pStyle w:val="5"/>
              <w:widowControl/>
              <w:spacing w:beforeAutospacing="0" w:afterAutospacing="0"/>
              <w:jc w:val="both"/>
              <w:rPr>
                <w:szCs w:val="24"/>
              </w:rPr>
            </w:pPr>
            <w:r>
              <w:rPr>
                <w:szCs w:val="24"/>
              </w:rPr>
              <w:t>要求4：掌握基础交易策略的代码实现与模拟交易功能开发，具备系统收益风险评估的技术能力；</w:t>
            </w:r>
          </w:p>
          <w:p w14:paraId="6EFE0285">
            <w:pPr>
              <w:pStyle w:val="5"/>
              <w:widowControl/>
              <w:spacing w:beforeAutospacing="0" w:afterAutospacing="0"/>
              <w:jc w:val="both"/>
              <w:rPr>
                <w:szCs w:val="24"/>
              </w:rPr>
            </w:pPr>
          </w:p>
          <w:p w14:paraId="65E11401">
            <w:pPr>
              <w:pStyle w:val="5"/>
              <w:widowControl/>
              <w:spacing w:beforeAutospacing="0" w:afterAutospacing="0"/>
              <w:jc w:val="both"/>
              <w:rPr>
                <w:rFonts w:hint="eastAsia"/>
                <w:szCs w:val="24"/>
              </w:rPr>
            </w:pPr>
            <w:r>
              <w:rPr>
                <w:szCs w:val="24"/>
              </w:rPr>
              <w:t>要求5：理解经济类应用软件的安全规范与性能优化基础思路，确保系统稳定、可靠运行。</w:t>
            </w:r>
          </w:p>
          <w:p w14:paraId="65E11402">
            <w:pPr>
              <w:spacing w:before="156" w:beforeLines="50" w:after="156" w:afterLines="50" w:line="300" w:lineRule="auto"/>
              <w:rPr>
                <w:b/>
                <w:bCs/>
                <w:sz w:val="28"/>
                <w:szCs w:val="28"/>
              </w:rPr>
            </w:pPr>
            <w:r>
              <w:rPr>
                <w:rFonts w:hint="eastAsia"/>
                <w:b/>
                <w:bCs/>
                <w:sz w:val="28"/>
                <w:szCs w:val="28"/>
              </w:rPr>
              <w:t>二、实验内容及步骤：</w:t>
            </w:r>
          </w:p>
          <w:p w14:paraId="609155F9">
            <w:pPr>
              <w:spacing w:after="80"/>
            </w:pPr>
            <w:r>
              <w:rPr>
                <w:rFonts w:ascii="Times New Roman" w:hAnsi="Times New Roman" w:eastAsia="宋体"/>
                <w:b/>
                <w:sz w:val="28"/>
              </w:rPr>
              <w:t>2.1 实验内容分析</w:t>
            </w:r>
          </w:p>
          <w:p w14:paraId="3BEBFBEB">
            <w:pPr>
              <w:spacing w:after="80" w:line="336" w:lineRule="auto"/>
              <w:ind w:firstLine="480"/>
              <w:jc w:val="both"/>
            </w:pPr>
            <w:r>
              <w:rPr>
                <w:rFonts w:ascii="Times New Roman" w:hAnsi="Times New Roman" w:eastAsia="宋体"/>
                <w:b w:val="0"/>
                <w:sz w:val="24"/>
              </w:rPr>
              <w:t>本实验基于 Python 设计并实现“经济智能分析与模拟交易系统”，采用模块化架构，涵盖数据获取、数据预处理、技术指标计算、宏观经济指标分析、交易策略构建、模拟交易回测与可视化等完整流程，针对性解决“经济数据与资本市场联动分析”和“投资策略有效性验证”等实际经济问题。</w:t>
            </w:r>
          </w:p>
          <w:p w14:paraId="374B55EF">
            <w:pPr>
              <w:spacing w:after="80"/>
            </w:pPr>
            <w:r>
              <w:rPr>
                <w:rFonts w:ascii="Times New Roman" w:hAnsi="Times New Roman" w:eastAsia="宋体"/>
                <w:b/>
                <w:sz w:val="28"/>
              </w:rPr>
              <w:t>2.2 程序流程图</w:t>
            </w:r>
          </w:p>
          <w:p w14:paraId="22DC0E02">
            <w:pPr>
              <w:jc w:val="center"/>
            </w:pPr>
            <w:r>
              <w:drawing>
                <wp:inline distT="0" distB="0" distL="114300" distR="114300">
                  <wp:extent cx="3108960" cy="4946015"/>
                  <wp:effectExtent l="0" t="0" r="1524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6"/>
                          <a:stretch>
                            <a:fillRect/>
                          </a:stretch>
                        </pic:blipFill>
                        <pic:spPr>
                          <a:xfrm>
                            <a:off x="0" y="0"/>
                            <a:ext cx="3108960" cy="4946390"/>
                          </a:xfrm>
                          <a:prstGeom prst="rect">
                            <a:avLst/>
                          </a:prstGeom>
                        </pic:spPr>
                      </pic:pic>
                    </a:graphicData>
                  </a:graphic>
                </wp:inline>
              </w:drawing>
            </w:r>
          </w:p>
          <w:p w14:paraId="0D6497F2">
            <w:pPr>
              <w:jc w:val="center"/>
            </w:pPr>
            <w:r>
              <w:rPr>
                <w:rFonts w:ascii="Times New Roman" w:hAnsi="Times New Roman" w:eastAsia="宋体"/>
                <w:b w:val="0"/>
                <w:sz w:val="21"/>
              </w:rPr>
              <w:t>图3-1  经济智能分析与模拟交易系统流程图</w:t>
            </w:r>
          </w:p>
          <w:p w14:paraId="41F69695">
            <w:pPr>
              <w:spacing w:after="80"/>
            </w:pPr>
            <w:r>
              <w:rPr>
                <w:rFonts w:ascii="Times New Roman" w:hAnsi="Times New Roman" w:eastAsia="宋体"/>
                <w:b/>
                <w:sz w:val="28"/>
              </w:rPr>
              <w:t>2.3 系统设计与实现</w:t>
            </w:r>
          </w:p>
          <w:p w14:paraId="073395F4">
            <w:pPr>
              <w:spacing w:after="80" w:line="336" w:lineRule="auto"/>
              <w:ind w:firstLine="480"/>
              <w:jc w:val="both"/>
            </w:pPr>
            <w:r>
              <w:rPr>
                <w:rFonts w:ascii="Times New Roman" w:hAnsi="Times New Roman" w:eastAsia="宋体"/>
                <w:b w:val="0"/>
                <w:sz w:val="24"/>
              </w:rPr>
              <w:t>系统采用模块化设计，各模块职责如下：</w:t>
            </w:r>
          </w:p>
          <w:p w14:paraId="091866D2">
            <w:pPr>
              <w:spacing w:after="80" w:line="336" w:lineRule="auto"/>
              <w:ind w:firstLine="480"/>
              <w:jc w:val="both"/>
            </w:pPr>
            <w:r>
              <w:rPr>
                <w:rFonts w:ascii="Times New Roman" w:hAnsi="Times New Roman" w:eastAsia="宋体"/>
                <w:b w:val="0"/>
                <w:sz w:val="24"/>
              </w:rPr>
              <w:t>（1）数据获取模块（data_loader.py）：支持通过 akshare 获取真实股票行情，并在无网络时自动回退到基于几何布朗运动（GBM）的高仿真模拟数据；同时生成 GDP、CPI、PPI、M2、基准利率等月度宏观经济指标，保证系统离线、可复现地运行。</w:t>
            </w:r>
          </w:p>
          <w:p w14:paraId="40DFB987">
            <w:pPr>
              <w:spacing w:after="80" w:line="336" w:lineRule="auto"/>
              <w:ind w:firstLine="480"/>
              <w:jc w:val="both"/>
            </w:pPr>
            <w:r>
              <w:rPr>
                <w:rFonts w:ascii="Times New Roman" w:hAnsi="Times New Roman" w:eastAsia="宋体"/>
                <w:b w:val="0"/>
                <w:sz w:val="24"/>
              </w:rPr>
              <w:t>（2）技术指标模块（indicators.py）：实现 MA、EMA、MACD、RSI、BOLL、KDJ 等主流技术指标的计算。</w:t>
            </w:r>
          </w:p>
          <w:p w14:paraId="3A90729B">
            <w:pPr>
              <w:spacing w:after="80" w:line="336" w:lineRule="auto"/>
              <w:ind w:firstLine="480"/>
              <w:jc w:val="both"/>
            </w:pPr>
            <w:r>
              <w:rPr>
                <w:rFonts w:ascii="Times New Roman" w:hAnsi="Times New Roman" w:eastAsia="宋体"/>
                <w:b w:val="0"/>
                <w:sz w:val="24"/>
              </w:rPr>
              <w:t>（3）交易策略模块（strategy.py）：构建双均线（金叉买入、死叉卖出）择时策略，并融合 RSI 超买/超卖过滤，提升交易信号质量。</w:t>
            </w:r>
          </w:p>
          <w:p w14:paraId="48E34697">
            <w:pPr>
              <w:spacing w:after="80" w:line="336" w:lineRule="auto"/>
              <w:ind w:firstLine="480"/>
              <w:jc w:val="both"/>
            </w:pPr>
            <w:r>
              <w:rPr>
                <w:rFonts w:ascii="Times New Roman" w:hAnsi="Times New Roman" w:eastAsia="宋体"/>
                <w:b w:val="0"/>
                <w:sz w:val="24"/>
              </w:rPr>
              <w:t>（4）回测交易模块（backtest.py）：按交易信号进行全仓模拟买卖并计入手续费，计算资金曲线、总收益率、年化收益率、最大回撤、夏普比率、胜率等绩效与风险指标，并与“买入持有”基准对比。</w:t>
            </w:r>
          </w:p>
          <w:p w14:paraId="0D61EF2F">
            <w:pPr>
              <w:spacing w:after="80" w:line="336" w:lineRule="auto"/>
              <w:ind w:firstLine="480"/>
              <w:jc w:val="both"/>
            </w:pPr>
            <w:r>
              <w:rPr>
                <w:rFonts w:ascii="Times New Roman" w:hAnsi="Times New Roman" w:eastAsia="宋体"/>
                <w:b w:val="0"/>
                <w:sz w:val="24"/>
              </w:rPr>
              <w:t>（5）可视化模块（visualize.py）：绘制 K 线+均线+买卖点、MACD、RSI、布林带、宏观经济指标走势、资金曲线与回撤等图表。</w:t>
            </w:r>
          </w:p>
          <w:p w14:paraId="1D5A7BD0">
            <w:pPr>
              <w:spacing w:after="80" w:line="336" w:lineRule="auto"/>
              <w:ind w:firstLine="480"/>
              <w:jc w:val="both"/>
            </w:pPr>
            <w:r>
              <w:rPr>
                <w:rFonts w:ascii="Times New Roman" w:hAnsi="Times New Roman" w:eastAsia="宋体"/>
                <w:b w:val="0"/>
                <w:sz w:val="24"/>
              </w:rPr>
              <w:t>（6）主程序（main.py）：串联上述模块，输出运行日志、绩效评估结果与全部图表。</w:t>
            </w:r>
          </w:p>
          <w:p w14:paraId="5014EED0">
            <w:pPr>
              <w:spacing w:after="80" w:line="336" w:lineRule="auto"/>
              <w:ind w:firstLine="480"/>
              <w:jc w:val="both"/>
            </w:pPr>
            <w:r>
              <w:rPr>
                <w:rFonts w:ascii="Times New Roman" w:hAnsi="Times New Roman" w:eastAsia="宋体"/>
                <w:b w:val="0"/>
                <w:sz w:val="24"/>
              </w:rPr>
              <w:t>开发环境：Python 3.13 + numpy + pandas + matplotlib；运行方式：python main.py。双均线交易策略与模拟回测的核心代码如下：</w:t>
            </w:r>
          </w:p>
          <w:p w14:paraId="4EC95B15">
            <w:pPr>
              <w:spacing w:after="0"/>
            </w:pPr>
            <w:r>
              <w:rPr>
                <w:rFonts w:ascii="Consolas" w:hAnsi="Consolas" w:eastAsia="宋体"/>
                <w:b w:val="0"/>
                <w:sz w:val="18"/>
              </w:rPr>
              <w:t># 双均线择时：金叉买入、死叉卖出</w:t>
            </w:r>
          </w:p>
          <w:p w14:paraId="551A046A">
            <w:pPr>
              <w:spacing w:after="0"/>
            </w:pPr>
            <w:r>
              <w:rPr>
                <w:rFonts w:ascii="Consolas" w:hAnsi="Consolas" w:eastAsia="宋体"/>
                <w:b w:val="0"/>
                <w:sz w:val="18"/>
              </w:rPr>
              <w:t>s = df['close'].rolling(short).mean()   # 短期均线</w:t>
            </w:r>
          </w:p>
          <w:p w14:paraId="020F21AA">
            <w:pPr>
              <w:spacing w:after="0"/>
            </w:pPr>
            <w:r>
              <w:rPr>
                <w:rFonts w:ascii="Consolas" w:hAnsi="Consolas" w:eastAsia="宋体"/>
                <w:b w:val="0"/>
                <w:sz w:val="18"/>
              </w:rPr>
              <w:t>l = df['close'].rolling(long).mean()    # 长期均线</w:t>
            </w:r>
          </w:p>
          <w:p w14:paraId="6B4C9178">
            <w:pPr>
              <w:spacing w:after="0"/>
            </w:pPr>
            <w:r>
              <w:rPr>
                <w:rFonts w:ascii="Consolas" w:hAnsi="Consolas" w:eastAsia="宋体"/>
                <w:b w:val="0"/>
                <w:sz w:val="18"/>
              </w:rPr>
              <w:t>sig = np.sign(s - l).diff()             # 金叉(+2)/死叉(-2)</w:t>
            </w:r>
          </w:p>
          <w:p w14:paraId="18FCC586">
            <w:pPr>
              <w:spacing w:after="0"/>
            </w:pPr>
            <w:r>
              <w:rPr>
                <w:rFonts w:ascii="Consolas" w:hAnsi="Consolas" w:eastAsia="宋体"/>
                <w:b w:val="0"/>
                <w:sz w:val="18"/>
              </w:rPr>
              <w:t>df.loc[sig &gt; 0, 'signal'] = 1           # 买入信号</w:t>
            </w:r>
          </w:p>
          <w:p w14:paraId="105D8DC8">
            <w:pPr>
              <w:spacing w:after="0"/>
            </w:pPr>
            <w:r>
              <w:rPr>
                <w:rFonts w:ascii="Consolas" w:hAnsi="Consolas" w:eastAsia="宋体"/>
                <w:b w:val="0"/>
                <w:sz w:val="18"/>
              </w:rPr>
              <w:t>df.loc[sig &lt; 0, 'signal'] = -1          # 卖出信号</w:t>
            </w:r>
          </w:p>
          <w:p w14:paraId="632C163C">
            <w:pPr>
              <w:spacing w:after="0"/>
            </w:pPr>
            <w:r>
              <w:rPr>
                <w:rFonts w:ascii="Consolas" w:hAnsi="Consolas" w:eastAsia="宋体"/>
                <w:b w:val="0"/>
                <w:sz w:val="18"/>
              </w:rPr>
              <w:t xml:space="preserve"> </w:t>
            </w:r>
          </w:p>
          <w:p w14:paraId="2BC29D22">
            <w:pPr>
              <w:spacing w:after="0"/>
            </w:pPr>
            <w:r>
              <w:rPr>
                <w:rFonts w:ascii="Consolas" w:hAnsi="Consolas" w:eastAsia="宋体"/>
                <w:b w:val="0"/>
                <w:sz w:val="18"/>
              </w:rPr>
              <w:t># 模拟交易回测</w:t>
            </w:r>
          </w:p>
          <w:p w14:paraId="0341A806">
            <w:pPr>
              <w:spacing w:after="0"/>
            </w:pPr>
            <w:r>
              <w:rPr>
                <w:rFonts w:ascii="Consolas" w:hAnsi="Consolas" w:eastAsia="宋体"/>
                <w:b w:val="0"/>
                <w:sz w:val="18"/>
              </w:rPr>
              <w:t>for i in range(len(df)):                # 遍历每个交易日</w:t>
            </w:r>
          </w:p>
          <w:p w14:paraId="43A6E085">
            <w:pPr>
              <w:spacing w:after="0"/>
            </w:pPr>
            <w:r>
              <w:rPr>
                <w:rFonts w:ascii="Consolas" w:hAnsi="Consolas" w:eastAsia="宋体"/>
                <w:b w:val="0"/>
                <w:sz w:val="18"/>
              </w:rPr>
              <w:t xml:space="preserve">    if signals[i] == 1 and shares == 0:    # 买入信号且空仓</w:t>
            </w:r>
          </w:p>
          <w:p w14:paraId="1029D500">
            <w:pPr>
              <w:spacing w:after="0"/>
            </w:pPr>
            <w:r>
              <w:rPr>
                <w:rFonts w:ascii="Consolas" w:hAnsi="Consolas" w:eastAsia="宋体"/>
                <w:b w:val="0"/>
                <w:sz w:val="18"/>
              </w:rPr>
              <w:t xml:space="preserve">        shares = int(cash / (price*(1+fee)))</w:t>
            </w:r>
          </w:p>
          <w:p w14:paraId="397E32CC">
            <w:pPr>
              <w:spacing w:after="0"/>
            </w:pPr>
            <w:r>
              <w:rPr>
                <w:rFonts w:ascii="Consolas" w:hAnsi="Consolas" w:eastAsia="宋体"/>
                <w:b w:val="0"/>
                <w:sz w:val="18"/>
              </w:rPr>
              <w:t xml:space="preserve">        cash  -= shares * price * (1+fee)</w:t>
            </w:r>
          </w:p>
          <w:p w14:paraId="1D3A0EE5">
            <w:pPr>
              <w:spacing w:after="0"/>
            </w:pPr>
            <w:r>
              <w:rPr>
                <w:rFonts w:ascii="Consolas" w:hAnsi="Consolas" w:eastAsia="宋体"/>
                <w:b w:val="0"/>
                <w:sz w:val="18"/>
              </w:rPr>
              <w:t xml:space="preserve">    elif signals[i] == -1 and shares &gt; 0:  # 卖出信号且持仓</w:t>
            </w:r>
          </w:p>
          <w:p w14:paraId="2F6AD946">
            <w:pPr>
              <w:spacing w:after="0"/>
            </w:pPr>
            <w:r>
              <w:rPr>
                <w:rFonts w:ascii="Consolas" w:hAnsi="Consolas" w:eastAsia="宋体"/>
                <w:b w:val="0"/>
                <w:sz w:val="18"/>
              </w:rPr>
              <w:t xml:space="preserve">        cash  += shares * price * (1-fee)</w:t>
            </w:r>
          </w:p>
          <w:p w14:paraId="6B41BAE4">
            <w:pPr>
              <w:spacing w:after="0"/>
            </w:pPr>
            <w:r>
              <w:rPr>
                <w:rFonts w:ascii="Consolas" w:hAnsi="Consolas" w:eastAsia="宋体"/>
                <w:b w:val="0"/>
                <w:sz w:val="18"/>
              </w:rPr>
              <w:t xml:space="preserve">        shares = 0</w:t>
            </w:r>
          </w:p>
          <w:p w14:paraId="642AC1E5">
            <w:pPr>
              <w:spacing w:after="0"/>
            </w:pPr>
            <w:r>
              <w:rPr>
                <w:rFonts w:ascii="Consolas" w:hAnsi="Consolas" w:eastAsia="宋体"/>
                <w:b w:val="0"/>
                <w:sz w:val="18"/>
              </w:rPr>
              <w:t xml:space="preserve">    equity.append(cash + shares*price)     # 记录每日资产</w:t>
            </w:r>
          </w:p>
          <w:p w14:paraId="65E11406">
            <w:pPr>
              <w:spacing w:before="156" w:beforeLines="50" w:after="156" w:afterLines="50" w:line="300" w:lineRule="auto"/>
              <w:rPr>
                <w:b/>
                <w:bCs/>
                <w:sz w:val="28"/>
                <w:szCs w:val="28"/>
              </w:rPr>
            </w:pPr>
            <w:r>
              <w:rPr>
                <w:rFonts w:hint="eastAsia"/>
                <w:b/>
                <w:bCs/>
                <w:sz w:val="28"/>
                <w:szCs w:val="28"/>
              </w:rPr>
              <w:t>三、实验结果：</w:t>
            </w:r>
          </w:p>
          <w:p w14:paraId="154968A4">
            <w:pPr>
              <w:spacing w:after="80" w:line="336" w:lineRule="auto"/>
              <w:ind w:firstLine="480"/>
              <w:jc w:val="both"/>
            </w:pPr>
            <w:r>
              <w:rPr>
                <w:rFonts w:ascii="Times New Roman" w:hAnsi="Times New Roman" w:eastAsia="宋体"/>
                <w:b w:val="0"/>
                <w:sz w:val="24"/>
              </w:rPr>
              <w:t>运行 main.py，程序依次完成数据获取、技术指标计算、交易信号生成、模拟回测与可视化，并在控制台输出运行日志与绩效评估结果。所得分析图表如下。</w:t>
            </w:r>
          </w:p>
          <w:p w14:paraId="2A72A4E1">
            <w:pPr>
              <w:jc w:val="center"/>
            </w:pPr>
            <w:r>
              <w:drawing>
                <wp:inline distT="0" distB="0" distL="114300" distR="114300">
                  <wp:extent cx="5120640" cy="2327275"/>
                  <wp:effectExtent l="0" t="0" r="3810" b="158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7"/>
                          <a:stretch>
                            <a:fillRect/>
                          </a:stretch>
                        </pic:blipFill>
                        <pic:spPr>
                          <a:xfrm>
                            <a:off x="0" y="0"/>
                            <a:ext cx="5120640" cy="2327564"/>
                          </a:xfrm>
                          <a:prstGeom prst="rect">
                            <a:avLst/>
                          </a:prstGeom>
                        </pic:spPr>
                      </pic:pic>
                    </a:graphicData>
                  </a:graphic>
                </wp:inline>
              </w:drawing>
            </w:r>
          </w:p>
          <w:p w14:paraId="1D81844E">
            <w:pPr>
              <w:jc w:val="center"/>
            </w:pPr>
            <w:r>
              <w:rPr>
                <w:rFonts w:ascii="Times New Roman" w:hAnsi="Times New Roman" w:eastAsia="宋体"/>
                <w:b w:val="0"/>
                <w:sz w:val="21"/>
              </w:rPr>
              <w:t>图3-2  贵州茅台日K线、均线（MA5/10/20）与双均线买卖点</w:t>
            </w:r>
          </w:p>
          <w:p w14:paraId="583D6C62">
            <w:pPr>
              <w:jc w:val="center"/>
            </w:pPr>
            <w:r>
              <w:drawing>
                <wp:inline distT="0" distB="0" distL="114300" distR="114300">
                  <wp:extent cx="5120640" cy="1489075"/>
                  <wp:effectExtent l="0" t="0" r="3810" b="158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8"/>
                          <a:stretch>
                            <a:fillRect/>
                          </a:stretch>
                        </pic:blipFill>
                        <pic:spPr>
                          <a:xfrm>
                            <a:off x="0" y="0"/>
                            <a:ext cx="5120640" cy="1489641"/>
                          </a:xfrm>
                          <a:prstGeom prst="rect">
                            <a:avLst/>
                          </a:prstGeom>
                        </pic:spPr>
                      </pic:pic>
                    </a:graphicData>
                  </a:graphic>
                </wp:inline>
              </w:drawing>
            </w:r>
          </w:p>
          <w:p w14:paraId="38DE5D93">
            <w:pPr>
              <w:jc w:val="center"/>
            </w:pPr>
            <w:r>
              <w:rPr>
                <w:rFonts w:ascii="Times New Roman" w:hAnsi="Times New Roman" w:eastAsia="宋体"/>
                <w:b w:val="0"/>
                <w:sz w:val="21"/>
              </w:rPr>
              <w:t>图3-3  MACD 指标（DIF/DEA/柱状）</w:t>
            </w:r>
          </w:p>
          <w:p w14:paraId="44A160CB">
            <w:pPr>
              <w:jc w:val="center"/>
            </w:pPr>
            <w:r>
              <w:drawing>
                <wp:inline distT="0" distB="0" distL="114300" distR="114300">
                  <wp:extent cx="5120640" cy="1396365"/>
                  <wp:effectExtent l="0" t="0" r="3810" b="133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9"/>
                          <a:stretch>
                            <a:fillRect/>
                          </a:stretch>
                        </pic:blipFill>
                        <pic:spPr>
                          <a:xfrm>
                            <a:off x="0" y="0"/>
                            <a:ext cx="5120640" cy="1396538"/>
                          </a:xfrm>
                          <a:prstGeom prst="rect">
                            <a:avLst/>
                          </a:prstGeom>
                        </pic:spPr>
                      </pic:pic>
                    </a:graphicData>
                  </a:graphic>
                </wp:inline>
              </w:drawing>
            </w:r>
          </w:p>
          <w:p w14:paraId="21D14B42">
            <w:pPr>
              <w:jc w:val="center"/>
            </w:pPr>
            <w:r>
              <w:rPr>
                <w:rFonts w:ascii="Times New Roman" w:hAnsi="Times New Roman" w:eastAsia="宋体"/>
                <w:b w:val="0"/>
                <w:sz w:val="21"/>
              </w:rPr>
              <w:t>图3-4  RSI 相对强弱指标（超买70/超卖30）</w:t>
            </w:r>
          </w:p>
          <w:p w14:paraId="1FBA559F">
            <w:pPr>
              <w:jc w:val="center"/>
            </w:pPr>
            <w:r>
              <w:drawing>
                <wp:inline distT="0" distB="0" distL="114300" distR="114300">
                  <wp:extent cx="5120640" cy="1954530"/>
                  <wp:effectExtent l="0" t="0" r="381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0"/>
                          <a:stretch>
                            <a:fillRect/>
                          </a:stretch>
                        </pic:blipFill>
                        <pic:spPr>
                          <a:xfrm>
                            <a:off x="0" y="0"/>
                            <a:ext cx="5120640" cy="1955153"/>
                          </a:xfrm>
                          <a:prstGeom prst="rect">
                            <a:avLst/>
                          </a:prstGeom>
                        </pic:spPr>
                      </pic:pic>
                    </a:graphicData>
                  </a:graphic>
                </wp:inline>
              </w:drawing>
            </w:r>
          </w:p>
          <w:p w14:paraId="1ED76B9D">
            <w:pPr>
              <w:jc w:val="center"/>
            </w:pPr>
            <w:r>
              <w:rPr>
                <w:rFonts w:ascii="Times New Roman" w:hAnsi="Times New Roman" w:eastAsia="宋体"/>
                <w:b w:val="0"/>
                <w:sz w:val="21"/>
              </w:rPr>
              <w:t>图3-5  布林带 BOLL（20,2）</w:t>
            </w:r>
          </w:p>
          <w:p w14:paraId="75F9C1AC">
            <w:pPr>
              <w:jc w:val="center"/>
            </w:pPr>
            <w:r>
              <w:drawing>
                <wp:inline distT="0" distB="0" distL="114300" distR="114300">
                  <wp:extent cx="5120640" cy="2094230"/>
                  <wp:effectExtent l="0" t="0" r="381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21"/>
                          <a:stretch>
                            <a:fillRect/>
                          </a:stretch>
                        </pic:blipFill>
                        <pic:spPr>
                          <a:xfrm>
                            <a:off x="0" y="0"/>
                            <a:ext cx="5120640" cy="2094807"/>
                          </a:xfrm>
                          <a:prstGeom prst="rect">
                            <a:avLst/>
                          </a:prstGeom>
                        </pic:spPr>
                      </pic:pic>
                    </a:graphicData>
                  </a:graphic>
                </wp:inline>
              </w:drawing>
            </w:r>
          </w:p>
          <w:p w14:paraId="36DB39B3">
            <w:pPr>
              <w:jc w:val="center"/>
            </w:pPr>
            <w:r>
              <w:rPr>
                <w:rFonts w:ascii="Times New Roman" w:hAnsi="Times New Roman" w:eastAsia="宋体"/>
                <w:b w:val="0"/>
                <w:sz w:val="21"/>
              </w:rPr>
              <w:t>图3-6  宏观经济指标走势（GDP/CPI/PPI/M2/利率）</w:t>
            </w:r>
          </w:p>
          <w:p w14:paraId="2E3C813E">
            <w:pPr>
              <w:jc w:val="center"/>
            </w:pPr>
            <w:r>
              <w:drawing>
                <wp:inline distT="0" distB="0" distL="114300" distR="114300">
                  <wp:extent cx="4512945" cy="2297430"/>
                  <wp:effectExtent l="0" t="0" r="1905"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2"/>
                          <a:stretch>
                            <a:fillRect/>
                          </a:stretch>
                        </pic:blipFill>
                        <pic:spPr>
                          <a:xfrm>
                            <a:off x="0" y="0"/>
                            <a:ext cx="4512945" cy="2297430"/>
                          </a:xfrm>
                          <a:prstGeom prst="rect">
                            <a:avLst/>
                          </a:prstGeom>
                        </pic:spPr>
                      </pic:pic>
                    </a:graphicData>
                  </a:graphic>
                </wp:inline>
              </w:drawing>
            </w:r>
          </w:p>
          <w:p w14:paraId="7A66F316">
            <w:pPr>
              <w:jc w:val="center"/>
            </w:pPr>
            <w:r>
              <w:rPr>
                <w:rFonts w:ascii="Times New Roman" w:hAnsi="Times New Roman" w:eastAsia="宋体"/>
                <w:b w:val="0"/>
                <w:sz w:val="21"/>
              </w:rPr>
              <w:t>图3-7  模拟交易资金曲线对比与策略回撤</w:t>
            </w:r>
          </w:p>
          <w:p w14:paraId="1F84DCD1">
            <w:pPr>
              <w:spacing w:after="80"/>
            </w:pPr>
            <w:r>
              <w:rPr>
                <w:rFonts w:ascii="Times New Roman" w:hAnsi="Times New Roman" w:eastAsia="宋体"/>
                <w:b/>
                <w:sz w:val="28"/>
              </w:rPr>
              <w:t>3.1 策略绩效评估</w:t>
            </w:r>
          </w:p>
          <w:p w14:paraId="77D442B7">
            <w:pPr>
              <w:spacing w:after="80" w:line="336" w:lineRule="auto"/>
              <w:ind w:firstLine="480"/>
              <w:jc w:val="both"/>
            </w:pPr>
            <w:r>
              <w:rPr>
                <w:rFonts w:ascii="Times New Roman" w:hAnsi="Times New Roman" w:eastAsia="宋体"/>
                <w:b w:val="0"/>
                <w:sz w:val="24"/>
              </w:rPr>
              <w:t>在初始资金 100,000 元、回测区间 2025-07-04 至 2026-06-18（共 250 个交易日）的条件下，双均线择时策略的回测结果为：期末资产 149,819.48 元，策略总收益率 49.82%，年化收益率 49.82%；同期“买入持有”基准收益率为 38.57%。策略最大回撤 -8.92%，夏普比率 2.38，共完成 5 次交易，胜率 40.0%。</w:t>
            </w:r>
          </w:p>
          <w:p w14:paraId="444B63C6">
            <w:pPr>
              <w:spacing w:after="80" w:line="336" w:lineRule="auto"/>
              <w:ind w:firstLine="480"/>
              <w:jc w:val="both"/>
            </w:pPr>
            <w:r>
              <w:rPr>
                <w:rFonts w:ascii="Times New Roman" w:hAnsi="Times New Roman" w:eastAsia="宋体"/>
                <w:b w:val="0"/>
                <w:sz w:val="24"/>
              </w:rPr>
              <w:t>结果分析：双均线择时策略跑赢“买入持有”基准约 11.25 个百分点，并将最大回撤控制在 8.92% 以内，夏普比率达 2.38，说明该策略在本段行情中具有良好的风险调整后收益与择时有效性；其在趋势行情中表现优异，但在震荡行情中存在信号滞后的局限，需结合其他指标进一步优化。</w:t>
            </w:r>
          </w:p>
          <w:p w14:paraId="65E11412">
            <w:pPr>
              <w:spacing w:after="80" w:line="336" w:lineRule="auto"/>
              <w:ind w:firstLine="480"/>
              <w:jc w:val="both"/>
            </w:pPr>
            <w:r>
              <w:rPr>
                <w:rFonts w:ascii="Times New Roman" w:hAnsi="Times New Roman" w:eastAsia="宋体"/>
                <w:b w:val="0"/>
                <w:sz w:val="24"/>
              </w:rPr>
              <w:t>宏观经济指标方面，最新一期数据为：GDP 同比 3.0%、CPI 同比 1.99%、PPI 同比 0.31%、M2 同比 8.31%、基准利率 3.29%，整体反映出经济温和增长、物价平稳、货币环境稳健的运行态势。</w:t>
            </w:r>
          </w:p>
        </w:tc>
      </w:tr>
      <w:tr w14:paraId="65E11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3" w:type="dxa"/>
          <w:trHeight w:val="13740" w:hRule="atLeast"/>
        </w:trPr>
        <w:tc>
          <w:tcPr>
            <w:tcW w:w="8296" w:type="dxa"/>
            <w:gridSpan w:val="5"/>
          </w:tcPr>
          <w:p w14:paraId="65E11414">
            <w:pPr>
              <w:spacing w:before="156" w:beforeLines="50" w:after="156" w:afterLines="50" w:line="300" w:lineRule="auto"/>
              <w:rPr>
                <w:b/>
                <w:bCs/>
                <w:sz w:val="28"/>
                <w:szCs w:val="28"/>
              </w:rPr>
            </w:pPr>
            <w:r>
              <w:rPr>
                <w:rFonts w:hint="eastAsia"/>
                <w:b/>
                <w:bCs/>
                <w:sz w:val="28"/>
                <w:szCs w:val="28"/>
              </w:rPr>
              <w:t>四、实验总结（认真写出自己在实验中遇到问题、解决方法、以及实验的体会、收获等）</w:t>
            </w:r>
          </w:p>
          <w:p w14:paraId="56F8FE74">
            <w:pPr>
              <w:spacing w:after="80" w:line="336" w:lineRule="auto"/>
              <w:ind w:firstLine="480"/>
              <w:jc w:val="both"/>
            </w:pPr>
            <w:r>
              <w:rPr>
                <w:rFonts w:ascii="Times New Roman" w:hAnsi="Times New Roman" w:eastAsia="宋体"/>
                <w:b w:val="0"/>
                <w:sz w:val="24"/>
              </w:rPr>
              <w:t>（一）遇到的问题与解决方法：</w:t>
            </w:r>
          </w:p>
          <w:p w14:paraId="58F230A5">
            <w:pPr>
              <w:spacing w:after="80" w:line="336" w:lineRule="auto"/>
              <w:ind w:firstLine="480"/>
              <w:jc w:val="both"/>
            </w:pPr>
            <w:r>
              <w:rPr>
                <w:rFonts w:ascii="Times New Roman" w:hAnsi="Times New Roman" w:eastAsia="宋体"/>
                <w:b w:val="0"/>
                <w:sz w:val="24"/>
              </w:rPr>
              <w:t>1. 指标前期空值：MA、MACD 等指标在序列前期存在 NaN，绘图与回测时需妥善处理，通过 pandas 的 rolling/ewm 计算并在回测中跳过空值解决。</w:t>
            </w:r>
          </w:p>
          <w:p w14:paraId="297D003A">
            <w:pPr>
              <w:spacing w:after="80" w:line="336" w:lineRule="auto"/>
              <w:ind w:firstLine="480"/>
              <w:jc w:val="both"/>
            </w:pPr>
            <w:r>
              <w:rPr>
                <w:rFonts w:ascii="Times New Roman" w:hAnsi="Times New Roman" w:eastAsia="宋体"/>
                <w:b w:val="0"/>
                <w:sz w:val="24"/>
              </w:rPr>
              <w:t>2. 策略表现随行情波动大：双均线策略在趋势行情有效、震荡行情易亏损，通过引入 RSI 过滤并对比“买入持有”基准客观评估，加深了对策略适用性的理解。</w:t>
            </w:r>
          </w:p>
          <w:p w14:paraId="44D6C329">
            <w:pPr>
              <w:spacing w:after="80" w:line="336" w:lineRule="auto"/>
              <w:ind w:firstLine="480"/>
              <w:jc w:val="both"/>
            </w:pPr>
            <w:r>
              <w:rPr>
                <w:rFonts w:ascii="Times New Roman" w:hAnsi="Times New Roman" w:eastAsia="宋体"/>
                <w:b w:val="0"/>
                <w:sz w:val="24"/>
              </w:rPr>
              <w:t>3. matplotlib 中文乱码：默认字体不支持中文，通过设置 font.sans-serif 为微软雅黑/黑体并关闭 unicode_minus 解决。</w:t>
            </w:r>
          </w:p>
          <w:p w14:paraId="21501AE8">
            <w:pPr>
              <w:spacing w:after="80" w:line="336" w:lineRule="auto"/>
              <w:ind w:firstLine="480"/>
              <w:jc w:val="both"/>
            </w:pPr>
            <w:r>
              <w:rPr>
                <w:rFonts w:ascii="Times New Roman" w:hAnsi="Times New Roman" w:eastAsia="宋体"/>
                <w:b w:val="0"/>
                <w:sz w:val="24"/>
              </w:rPr>
              <w:t>（二）体会与收获：本实验让我完整体验了“数据→分析→策略→回测→可视化”的量化分析流程，掌握了用 Python 进行金融数据处理（pandas）、技术指标计算、策略回测与可视化（matplotlib）的方法，理解了收益率、最大回撤、夏普比率等核心风险收益指标的含义；不仅提升了用 Python 解决经济金融实际问题的工程能力，也培养了数据驱动的理性投资思维与风险意识。</w:t>
            </w:r>
          </w:p>
          <w:p w14:paraId="65E11415">
            <w:pPr>
              <w:spacing w:line="300" w:lineRule="auto"/>
              <w:rPr>
                <w:b/>
                <w:bCs/>
              </w:rPr>
            </w:pPr>
          </w:p>
          <w:p w14:paraId="65E11416">
            <w:pPr>
              <w:spacing w:line="300" w:lineRule="auto"/>
              <w:rPr>
                <w:b/>
                <w:bCs/>
                <w:sz w:val="36"/>
                <w:szCs w:val="36"/>
              </w:rPr>
            </w:pPr>
          </w:p>
        </w:tc>
      </w:tr>
    </w:tbl>
    <w:p w14:paraId="65E11418">
      <w:pPr>
        <w:spacing w:before="161" w:line="224" w:lineRule="auto"/>
        <w:ind w:firstLine="800" w:firstLineChars="200"/>
        <w:rPr>
          <w:rFonts w:ascii="仿宋_GB2312" w:eastAsia="仿宋_GB2312"/>
          <w:b/>
          <w:color w:val="000000"/>
          <w:sz w:val="36"/>
          <w:szCs w:val="28"/>
        </w:rPr>
      </w:pPr>
      <w:r>
        <w:rPr>
          <w:rFonts w:hint="eastAsia" w:ascii="方正小标宋简体" w:hAnsi="方正小标宋简体" w:eastAsia="方正小标宋简体" w:cs="方正小标宋简体"/>
          <w:color w:val="000000" w:themeColor="text1"/>
          <w:sz w:val="40"/>
          <w:szCs w:val="40"/>
          <w:lang w:eastAsia="zh-TW"/>
          <w14:textFill>
            <w14:solidFill>
              <w14:schemeClr w14:val="tx1"/>
            </w14:solidFill>
          </w14:textFill>
        </w:rPr>
        <w:t>《</w:t>
      </w:r>
      <w:r>
        <w:rPr>
          <w:rFonts w:hint="eastAsia" w:ascii="方正小标宋简体" w:hAnsi="方正小标宋简体" w:eastAsia="方正小标宋简体" w:cs="方正小标宋简体"/>
          <w:color w:val="000000" w:themeColor="text1"/>
          <w:sz w:val="40"/>
          <w:szCs w:val="40"/>
          <w14:textFill>
            <w14:solidFill>
              <w14:schemeClr w14:val="tx1"/>
            </w14:solidFill>
          </w14:textFill>
        </w:rPr>
        <w:t>经济学Python应用</w:t>
      </w:r>
      <w:r>
        <w:rPr>
          <w:rFonts w:hint="eastAsia" w:ascii="方正小标宋简体" w:hAnsi="方正小标宋简体" w:eastAsia="方正小标宋简体" w:cs="方正小标宋简体"/>
          <w:color w:val="000000" w:themeColor="text1"/>
          <w:sz w:val="40"/>
          <w:szCs w:val="40"/>
          <w:lang w:eastAsia="zh-TW"/>
          <w14:textFill>
            <w14:solidFill>
              <w14:schemeClr w14:val="tx1"/>
            </w14:solidFill>
          </w14:textFill>
        </w:rPr>
        <w:t>》课程评分标准</w:t>
      </w:r>
      <w:r>
        <w:rPr>
          <w:rFonts w:hint="eastAsia" w:ascii="仿宋_GB2312" w:eastAsia="仿宋_GB2312"/>
          <w:b/>
          <w:color w:val="000000"/>
          <w:sz w:val="36"/>
          <w:szCs w:val="28"/>
        </w:rPr>
        <w:br w:type="textWrapping"/>
      </w:r>
    </w:p>
    <w:p w14:paraId="65E11419">
      <w:pPr>
        <w:pStyle w:val="2"/>
      </w:pPr>
    </w:p>
    <w:tbl>
      <w:tblPr>
        <w:tblStyle w:val="7"/>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4"/>
        <w:gridCol w:w="1568"/>
        <w:gridCol w:w="4146"/>
        <w:gridCol w:w="1264"/>
      </w:tblGrid>
      <w:tr w14:paraId="65E11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tblHeader/>
          <w:jc w:val="center"/>
        </w:trPr>
        <w:tc>
          <w:tcPr>
            <w:tcW w:w="1544" w:type="dxa"/>
            <w:vAlign w:val="center"/>
          </w:tcPr>
          <w:p w14:paraId="65E1141A">
            <w:pPr>
              <w:snapToGrid w:val="0"/>
              <w:jc w:val="center"/>
              <w:rPr>
                <w:rFonts w:ascii="宋体" w:hAnsi="宋体"/>
                <w:b/>
                <w:bCs/>
                <w:lang w:eastAsia="zh-TW"/>
              </w:rPr>
            </w:pPr>
            <w:r>
              <w:rPr>
                <w:rFonts w:ascii="宋体" w:hAnsi="宋体"/>
                <w:b/>
                <w:bCs/>
                <w:lang w:eastAsia="zh-TW"/>
              </w:rPr>
              <w:t>对应课程目标</w:t>
            </w:r>
          </w:p>
        </w:tc>
        <w:tc>
          <w:tcPr>
            <w:tcW w:w="1568" w:type="dxa"/>
            <w:vAlign w:val="center"/>
          </w:tcPr>
          <w:p w14:paraId="65E1141B">
            <w:pPr>
              <w:snapToGrid w:val="0"/>
              <w:jc w:val="center"/>
              <w:rPr>
                <w:rFonts w:ascii="宋体" w:hAnsi="宋体"/>
                <w:b/>
                <w:bCs/>
              </w:rPr>
            </w:pPr>
            <w:r>
              <w:rPr>
                <w:rFonts w:hint="eastAsia" w:ascii="宋体" w:hAnsi="宋体"/>
                <w:b/>
                <w:bCs/>
              </w:rPr>
              <w:t>评价内容</w:t>
            </w:r>
          </w:p>
        </w:tc>
        <w:tc>
          <w:tcPr>
            <w:tcW w:w="4146" w:type="dxa"/>
            <w:vAlign w:val="center"/>
          </w:tcPr>
          <w:p w14:paraId="65E1141C">
            <w:pPr>
              <w:snapToGrid w:val="0"/>
              <w:jc w:val="center"/>
              <w:rPr>
                <w:rFonts w:ascii="宋体" w:hAnsi="宋体"/>
                <w:b/>
                <w:bCs/>
                <w:lang w:eastAsia="zh-TW"/>
              </w:rPr>
            </w:pPr>
            <w:r>
              <w:rPr>
                <w:rFonts w:ascii="宋体" w:hAnsi="宋体"/>
                <w:b/>
                <w:bCs/>
                <w:lang w:eastAsia="zh-TW"/>
              </w:rPr>
              <w:t>具体要求</w:t>
            </w:r>
          </w:p>
        </w:tc>
        <w:tc>
          <w:tcPr>
            <w:tcW w:w="1264" w:type="dxa"/>
            <w:vAlign w:val="center"/>
          </w:tcPr>
          <w:p w14:paraId="65E1141D">
            <w:pPr>
              <w:snapToGrid w:val="0"/>
              <w:jc w:val="center"/>
              <w:rPr>
                <w:rFonts w:ascii="宋体" w:hAnsi="宋体"/>
                <w:b/>
                <w:bCs/>
              </w:rPr>
            </w:pPr>
            <w:r>
              <w:rPr>
                <w:rFonts w:hint="eastAsia" w:ascii="宋体" w:hAnsi="宋体"/>
                <w:b/>
                <w:bCs/>
              </w:rPr>
              <w:t>模块得分</w:t>
            </w:r>
          </w:p>
        </w:tc>
      </w:tr>
      <w:tr w14:paraId="65E11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1544" w:type="dxa"/>
            <w:vMerge w:val="restart"/>
            <w:vAlign w:val="center"/>
          </w:tcPr>
          <w:p w14:paraId="65E1141F">
            <w:pPr>
              <w:snapToGrid w:val="0"/>
              <w:jc w:val="center"/>
              <w:rPr>
                <w:rFonts w:ascii="宋体" w:hAnsi="宋体"/>
                <w:lang w:eastAsia="zh-TW"/>
              </w:rPr>
            </w:pPr>
            <w:r>
              <w:rPr>
                <w:rFonts w:ascii="宋体" w:hAnsi="宋体"/>
                <w:lang w:eastAsia="zh-TW"/>
              </w:rPr>
              <w:t>价值目标</w:t>
            </w:r>
          </w:p>
          <w:p w14:paraId="65E11420">
            <w:pPr>
              <w:snapToGrid w:val="0"/>
              <w:jc w:val="center"/>
              <w:rPr>
                <w:rFonts w:ascii="宋体" w:hAnsi="宋体"/>
              </w:rPr>
            </w:pPr>
          </w:p>
        </w:tc>
        <w:tc>
          <w:tcPr>
            <w:tcW w:w="1568" w:type="dxa"/>
            <w:vMerge w:val="restart"/>
            <w:vAlign w:val="center"/>
          </w:tcPr>
          <w:p w14:paraId="65E11421">
            <w:pPr>
              <w:snapToGrid w:val="0"/>
              <w:jc w:val="center"/>
              <w:rPr>
                <w:rFonts w:ascii="宋体" w:hAnsi="宋体"/>
              </w:rPr>
            </w:pPr>
            <w:r>
              <w:rPr>
                <w:rFonts w:hint="eastAsia" w:ascii="宋体" w:hAnsi="宋体"/>
              </w:rPr>
              <w:t>反思</w:t>
            </w:r>
            <w:r>
              <w:rPr>
                <w:rFonts w:ascii="宋体" w:hAnsi="宋体"/>
                <w:lang w:eastAsia="zh-TW"/>
              </w:rPr>
              <w:t>与讨论</w:t>
            </w:r>
            <w:r>
              <w:rPr>
                <w:rFonts w:hint="eastAsia" w:ascii="宋体" w:hAnsi="宋体"/>
              </w:rPr>
              <w:t>（20分）</w:t>
            </w:r>
          </w:p>
          <w:p w14:paraId="65E11422">
            <w:pPr>
              <w:pStyle w:val="2"/>
              <w:jc w:val="center"/>
            </w:pPr>
          </w:p>
        </w:tc>
        <w:tc>
          <w:tcPr>
            <w:tcW w:w="4146" w:type="dxa"/>
            <w:vAlign w:val="center"/>
          </w:tcPr>
          <w:p w14:paraId="65E11423">
            <w:pPr>
              <w:snapToGrid w:val="0"/>
              <w:rPr>
                <w:rFonts w:ascii="宋体" w:hAnsi="宋体"/>
              </w:rPr>
            </w:pPr>
            <w:r>
              <w:rPr>
                <w:rFonts w:ascii="宋体" w:hAnsi="宋体"/>
              </w:rPr>
              <w:t>建议结合数据和案例分析，具有逻辑性（10分）</w:t>
            </w:r>
          </w:p>
        </w:tc>
        <w:tc>
          <w:tcPr>
            <w:tcW w:w="1264" w:type="dxa"/>
            <w:vMerge w:val="restart"/>
            <w:vAlign w:val="center"/>
          </w:tcPr>
          <w:p w14:paraId="65E11424">
            <w:pPr>
              <w:snapToGrid w:val="0"/>
              <w:jc w:val="center"/>
              <w:rPr>
                <w:rFonts w:ascii="宋体" w:hAnsi="宋体"/>
              </w:rPr>
            </w:pPr>
          </w:p>
        </w:tc>
      </w:tr>
      <w:tr w14:paraId="65E11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1" w:hRule="atLeast"/>
          <w:jc w:val="center"/>
        </w:trPr>
        <w:tc>
          <w:tcPr>
            <w:tcW w:w="1544" w:type="dxa"/>
            <w:vMerge w:val="continue"/>
            <w:vAlign w:val="center"/>
          </w:tcPr>
          <w:p w14:paraId="65E11426">
            <w:pPr>
              <w:snapToGrid w:val="0"/>
              <w:jc w:val="center"/>
              <w:rPr>
                <w:rFonts w:ascii="宋体" w:hAnsi="宋体"/>
              </w:rPr>
            </w:pPr>
          </w:p>
        </w:tc>
        <w:tc>
          <w:tcPr>
            <w:tcW w:w="1568" w:type="dxa"/>
            <w:vMerge w:val="continue"/>
            <w:vAlign w:val="center"/>
          </w:tcPr>
          <w:p w14:paraId="65E11427">
            <w:pPr>
              <w:snapToGrid w:val="0"/>
              <w:jc w:val="center"/>
              <w:rPr>
                <w:rFonts w:ascii="宋体" w:hAnsi="宋体"/>
              </w:rPr>
            </w:pPr>
          </w:p>
        </w:tc>
        <w:tc>
          <w:tcPr>
            <w:tcW w:w="4146" w:type="dxa"/>
            <w:vAlign w:val="center"/>
          </w:tcPr>
          <w:p w14:paraId="65E11428">
            <w:pPr>
              <w:snapToGrid w:val="0"/>
              <w:rPr>
                <w:rFonts w:ascii="宋体" w:hAnsi="宋体"/>
              </w:rPr>
            </w:pPr>
            <w:r>
              <w:rPr>
                <w:rFonts w:ascii="宋体" w:hAnsi="宋体"/>
              </w:rPr>
              <w:t>建议具体、可行，能体现对实践的指导意义（10分）</w:t>
            </w:r>
          </w:p>
        </w:tc>
        <w:tc>
          <w:tcPr>
            <w:tcW w:w="1264" w:type="dxa"/>
            <w:vMerge w:val="continue"/>
            <w:vAlign w:val="center"/>
          </w:tcPr>
          <w:p w14:paraId="65E11429">
            <w:pPr>
              <w:snapToGrid w:val="0"/>
              <w:jc w:val="center"/>
              <w:rPr>
                <w:rFonts w:ascii="宋体" w:hAnsi="宋体"/>
              </w:rPr>
            </w:pPr>
          </w:p>
        </w:tc>
      </w:tr>
      <w:tr w14:paraId="65E11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4" w:type="dxa"/>
            <w:vMerge w:val="restart"/>
            <w:vAlign w:val="center"/>
          </w:tcPr>
          <w:p w14:paraId="65E1142B">
            <w:pPr>
              <w:snapToGrid w:val="0"/>
              <w:jc w:val="center"/>
              <w:rPr>
                <w:rFonts w:ascii="宋体" w:hAnsi="宋体"/>
              </w:rPr>
            </w:pPr>
            <w:r>
              <w:rPr>
                <w:rFonts w:ascii="宋体" w:hAnsi="宋体"/>
                <w:lang w:eastAsia="zh-TW"/>
              </w:rPr>
              <w:t>知识目标</w:t>
            </w:r>
          </w:p>
        </w:tc>
        <w:tc>
          <w:tcPr>
            <w:tcW w:w="1568" w:type="dxa"/>
            <w:vMerge w:val="restart"/>
            <w:vAlign w:val="center"/>
          </w:tcPr>
          <w:p w14:paraId="65E1142C">
            <w:pPr>
              <w:snapToGrid w:val="0"/>
              <w:jc w:val="center"/>
              <w:rPr>
                <w:rFonts w:ascii="宋体" w:hAnsi="宋体"/>
              </w:rPr>
            </w:pPr>
            <w:r>
              <w:rPr>
                <w:rFonts w:hint="eastAsia" w:ascii="宋体" w:hAnsi="宋体"/>
              </w:rPr>
              <w:t>基本编程能力</w:t>
            </w:r>
          </w:p>
          <w:p w14:paraId="65E1142D">
            <w:pPr>
              <w:snapToGrid w:val="0"/>
              <w:jc w:val="center"/>
              <w:rPr>
                <w:rFonts w:ascii="宋体" w:hAnsi="宋体"/>
              </w:rPr>
            </w:pPr>
            <w:r>
              <w:rPr>
                <w:rFonts w:hint="eastAsia" w:ascii="宋体" w:hAnsi="宋体"/>
              </w:rPr>
              <w:t>（30分）</w:t>
            </w:r>
          </w:p>
        </w:tc>
        <w:tc>
          <w:tcPr>
            <w:tcW w:w="4146" w:type="dxa"/>
            <w:vAlign w:val="center"/>
          </w:tcPr>
          <w:p w14:paraId="65E1142E">
            <w:pPr>
              <w:snapToGrid w:val="0"/>
              <w:rPr>
                <w:rFonts w:ascii="宋体" w:hAnsi="宋体"/>
              </w:rPr>
            </w:pPr>
            <w:r>
              <w:rPr>
                <w:rFonts w:hint="eastAsia" w:ascii="宋体" w:hAnsi="宋体"/>
              </w:rPr>
              <w:t>实验报告程序流程图清晰明白（5分）</w:t>
            </w:r>
          </w:p>
          <w:p w14:paraId="65E1142F">
            <w:pPr>
              <w:pStyle w:val="2"/>
              <w:jc w:val="both"/>
            </w:pPr>
          </w:p>
        </w:tc>
        <w:tc>
          <w:tcPr>
            <w:tcW w:w="1264" w:type="dxa"/>
            <w:vMerge w:val="restart"/>
            <w:vAlign w:val="center"/>
          </w:tcPr>
          <w:p w14:paraId="65E11430">
            <w:pPr>
              <w:snapToGrid w:val="0"/>
              <w:jc w:val="center"/>
              <w:rPr>
                <w:rFonts w:ascii="宋体" w:hAnsi="宋体"/>
                <w:lang w:eastAsia="zh-TW"/>
              </w:rPr>
            </w:pPr>
          </w:p>
        </w:tc>
      </w:tr>
      <w:tr w14:paraId="65E11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4" w:type="dxa"/>
            <w:vMerge w:val="continue"/>
            <w:vAlign w:val="center"/>
          </w:tcPr>
          <w:p w14:paraId="65E11432">
            <w:pPr>
              <w:snapToGrid w:val="0"/>
              <w:jc w:val="center"/>
              <w:rPr>
                <w:rFonts w:ascii="宋体" w:hAnsi="宋体"/>
                <w:lang w:eastAsia="zh-TW"/>
              </w:rPr>
            </w:pPr>
          </w:p>
        </w:tc>
        <w:tc>
          <w:tcPr>
            <w:tcW w:w="1568" w:type="dxa"/>
            <w:vMerge w:val="continue"/>
            <w:vAlign w:val="center"/>
          </w:tcPr>
          <w:p w14:paraId="65E11433">
            <w:pPr>
              <w:snapToGrid w:val="0"/>
              <w:jc w:val="center"/>
              <w:rPr>
                <w:rFonts w:ascii="宋体" w:hAnsi="宋体"/>
                <w:lang w:eastAsia="zh-TW"/>
              </w:rPr>
            </w:pPr>
          </w:p>
        </w:tc>
        <w:tc>
          <w:tcPr>
            <w:tcW w:w="4146" w:type="dxa"/>
            <w:vAlign w:val="center"/>
          </w:tcPr>
          <w:p w14:paraId="65E11434">
            <w:pPr>
              <w:snapToGrid w:val="0"/>
              <w:rPr>
                <w:rFonts w:ascii="宋体" w:hAnsi="宋体"/>
              </w:rPr>
            </w:pPr>
            <w:r>
              <w:rPr>
                <w:rFonts w:hint="eastAsia" w:ascii="宋体" w:hAnsi="宋体"/>
              </w:rPr>
              <w:t>掌握if条件判断和for/while循环等程序命令（10分）</w:t>
            </w:r>
          </w:p>
        </w:tc>
        <w:tc>
          <w:tcPr>
            <w:tcW w:w="1264" w:type="dxa"/>
            <w:vMerge w:val="continue"/>
            <w:vAlign w:val="center"/>
          </w:tcPr>
          <w:p w14:paraId="65E11435">
            <w:pPr>
              <w:snapToGrid w:val="0"/>
              <w:jc w:val="center"/>
              <w:rPr>
                <w:rFonts w:ascii="宋体" w:hAnsi="宋体"/>
              </w:rPr>
            </w:pPr>
          </w:p>
        </w:tc>
      </w:tr>
      <w:tr w14:paraId="65E11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4" w:type="dxa"/>
            <w:vMerge w:val="continue"/>
            <w:vAlign w:val="center"/>
          </w:tcPr>
          <w:p w14:paraId="65E11437">
            <w:pPr>
              <w:snapToGrid w:val="0"/>
              <w:jc w:val="center"/>
              <w:rPr>
                <w:rFonts w:ascii="宋体" w:hAnsi="宋体"/>
              </w:rPr>
            </w:pPr>
          </w:p>
        </w:tc>
        <w:tc>
          <w:tcPr>
            <w:tcW w:w="1568" w:type="dxa"/>
            <w:vMerge w:val="continue"/>
            <w:vAlign w:val="center"/>
          </w:tcPr>
          <w:p w14:paraId="65E11438">
            <w:pPr>
              <w:snapToGrid w:val="0"/>
              <w:jc w:val="center"/>
              <w:rPr>
                <w:rFonts w:ascii="宋体" w:hAnsi="宋体"/>
              </w:rPr>
            </w:pPr>
          </w:p>
        </w:tc>
        <w:tc>
          <w:tcPr>
            <w:tcW w:w="4146" w:type="dxa"/>
            <w:vAlign w:val="center"/>
          </w:tcPr>
          <w:p w14:paraId="65E11439">
            <w:pPr>
              <w:snapToGrid w:val="0"/>
              <w:rPr>
                <w:rFonts w:ascii="宋体" w:hAnsi="宋体"/>
              </w:rPr>
            </w:pPr>
            <w:r>
              <w:rPr>
                <w:rFonts w:hint="eastAsia" w:ascii="宋体" w:hAnsi="宋体"/>
              </w:rPr>
              <w:t>与课程内容相关，能反映Python与人工智能的深度结合（10分）</w:t>
            </w:r>
          </w:p>
        </w:tc>
        <w:tc>
          <w:tcPr>
            <w:tcW w:w="1264" w:type="dxa"/>
            <w:vMerge w:val="continue"/>
            <w:vAlign w:val="center"/>
          </w:tcPr>
          <w:p w14:paraId="65E1143A">
            <w:pPr>
              <w:snapToGrid w:val="0"/>
              <w:jc w:val="center"/>
              <w:rPr>
                <w:rFonts w:ascii="宋体" w:hAnsi="宋体"/>
              </w:rPr>
            </w:pPr>
          </w:p>
        </w:tc>
      </w:tr>
      <w:tr w14:paraId="65E11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544" w:type="dxa"/>
            <w:vMerge w:val="continue"/>
            <w:vAlign w:val="center"/>
          </w:tcPr>
          <w:p w14:paraId="65E1143C">
            <w:pPr>
              <w:snapToGrid w:val="0"/>
              <w:jc w:val="center"/>
              <w:rPr>
                <w:rFonts w:ascii="宋体" w:hAnsi="宋体"/>
              </w:rPr>
            </w:pPr>
          </w:p>
        </w:tc>
        <w:tc>
          <w:tcPr>
            <w:tcW w:w="1568" w:type="dxa"/>
            <w:vMerge w:val="continue"/>
            <w:vAlign w:val="center"/>
          </w:tcPr>
          <w:p w14:paraId="65E1143D">
            <w:pPr>
              <w:snapToGrid w:val="0"/>
              <w:jc w:val="center"/>
              <w:rPr>
                <w:rFonts w:ascii="宋体" w:hAnsi="宋体"/>
              </w:rPr>
            </w:pPr>
          </w:p>
        </w:tc>
        <w:tc>
          <w:tcPr>
            <w:tcW w:w="4146" w:type="dxa"/>
            <w:vAlign w:val="center"/>
          </w:tcPr>
          <w:p w14:paraId="65E1143E">
            <w:pPr>
              <w:snapToGrid w:val="0"/>
              <w:rPr>
                <w:rFonts w:ascii="宋体" w:hAnsi="宋体"/>
              </w:rPr>
            </w:pPr>
            <w:r>
              <w:rPr>
                <w:rFonts w:hint="eastAsia" w:ascii="宋体" w:hAnsi="宋体"/>
              </w:rPr>
              <w:t>能定义和调用简单函数等高级程序方法（5分）</w:t>
            </w:r>
          </w:p>
        </w:tc>
        <w:tc>
          <w:tcPr>
            <w:tcW w:w="1264" w:type="dxa"/>
            <w:vMerge w:val="continue"/>
            <w:vAlign w:val="center"/>
          </w:tcPr>
          <w:p w14:paraId="65E1143F">
            <w:pPr>
              <w:snapToGrid w:val="0"/>
              <w:jc w:val="center"/>
              <w:rPr>
                <w:rFonts w:ascii="宋体" w:hAnsi="宋体"/>
              </w:rPr>
            </w:pPr>
          </w:p>
        </w:tc>
      </w:tr>
      <w:tr w14:paraId="65E11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1544" w:type="dxa"/>
            <w:vMerge w:val="restart"/>
            <w:vAlign w:val="center"/>
          </w:tcPr>
          <w:p w14:paraId="65E11441">
            <w:pPr>
              <w:snapToGrid w:val="0"/>
              <w:jc w:val="center"/>
              <w:rPr>
                <w:rFonts w:ascii="宋体" w:hAnsi="宋体"/>
                <w:lang w:eastAsia="zh-TW"/>
              </w:rPr>
            </w:pPr>
            <w:r>
              <w:rPr>
                <w:rFonts w:ascii="宋体" w:hAnsi="宋体"/>
                <w:lang w:eastAsia="zh-TW"/>
              </w:rPr>
              <w:t>能力目标</w:t>
            </w:r>
          </w:p>
        </w:tc>
        <w:tc>
          <w:tcPr>
            <w:tcW w:w="1568" w:type="dxa"/>
            <w:vMerge w:val="restart"/>
            <w:vAlign w:val="center"/>
          </w:tcPr>
          <w:p w14:paraId="65E11442">
            <w:pPr>
              <w:snapToGrid w:val="0"/>
              <w:jc w:val="center"/>
              <w:rPr>
                <w:rFonts w:ascii="宋体" w:hAnsi="宋体"/>
              </w:rPr>
            </w:pPr>
            <w:r>
              <w:rPr>
                <w:rFonts w:ascii="宋体" w:hAnsi="宋体"/>
                <w:lang w:eastAsia="zh-TW"/>
              </w:rPr>
              <w:t>分析方法运用</w:t>
            </w:r>
            <w:r>
              <w:rPr>
                <w:rFonts w:hint="eastAsia" w:ascii="宋体" w:hAnsi="宋体"/>
              </w:rPr>
              <w:t>（20分）</w:t>
            </w:r>
          </w:p>
        </w:tc>
        <w:tc>
          <w:tcPr>
            <w:tcW w:w="4146" w:type="dxa"/>
            <w:vAlign w:val="center"/>
          </w:tcPr>
          <w:p w14:paraId="65E11443">
            <w:pPr>
              <w:snapToGrid w:val="0"/>
              <w:rPr>
                <w:rFonts w:ascii="宋体" w:hAnsi="宋体"/>
              </w:rPr>
            </w:pPr>
            <w:r>
              <w:rPr>
                <w:rFonts w:ascii="宋体" w:hAnsi="宋体"/>
              </w:rPr>
              <w:t>每种分析方法运用正确（</w:t>
            </w:r>
            <w:r>
              <w:rPr>
                <w:rFonts w:hint="eastAsia" w:ascii="宋体" w:hAnsi="宋体"/>
              </w:rPr>
              <w:t>5</w:t>
            </w:r>
            <w:r>
              <w:rPr>
                <w:rFonts w:ascii="宋体" w:hAnsi="宋体"/>
              </w:rPr>
              <w:t>分）</w:t>
            </w:r>
          </w:p>
        </w:tc>
        <w:tc>
          <w:tcPr>
            <w:tcW w:w="1264" w:type="dxa"/>
            <w:vMerge w:val="restart"/>
            <w:vAlign w:val="center"/>
          </w:tcPr>
          <w:p w14:paraId="65E11444">
            <w:pPr>
              <w:snapToGrid w:val="0"/>
              <w:jc w:val="center"/>
              <w:rPr>
                <w:rFonts w:ascii="宋体" w:hAnsi="宋体"/>
                <w:lang w:eastAsia="zh-TW"/>
              </w:rPr>
            </w:pPr>
          </w:p>
        </w:tc>
      </w:tr>
      <w:tr w14:paraId="65E11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1544" w:type="dxa"/>
            <w:vMerge w:val="continue"/>
            <w:vAlign w:val="center"/>
          </w:tcPr>
          <w:p w14:paraId="65E11446">
            <w:pPr>
              <w:snapToGrid w:val="0"/>
              <w:jc w:val="center"/>
              <w:rPr>
                <w:rFonts w:ascii="宋体" w:hAnsi="宋体"/>
              </w:rPr>
            </w:pPr>
          </w:p>
        </w:tc>
        <w:tc>
          <w:tcPr>
            <w:tcW w:w="1568" w:type="dxa"/>
            <w:vMerge w:val="continue"/>
            <w:vAlign w:val="center"/>
          </w:tcPr>
          <w:p w14:paraId="65E11447">
            <w:pPr>
              <w:snapToGrid w:val="0"/>
              <w:jc w:val="center"/>
              <w:rPr>
                <w:rFonts w:ascii="宋体" w:hAnsi="宋体"/>
              </w:rPr>
            </w:pPr>
          </w:p>
        </w:tc>
        <w:tc>
          <w:tcPr>
            <w:tcW w:w="4146" w:type="dxa"/>
            <w:vAlign w:val="center"/>
          </w:tcPr>
          <w:p w14:paraId="65E11448">
            <w:pPr>
              <w:snapToGrid w:val="0"/>
              <w:rPr>
                <w:rFonts w:ascii="宋体" w:hAnsi="宋体"/>
              </w:rPr>
            </w:pPr>
            <w:r>
              <w:rPr>
                <w:rFonts w:ascii="宋体" w:hAnsi="宋体"/>
              </w:rPr>
              <w:t>能够结合</w:t>
            </w:r>
            <w:r>
              <w:rPr>
                <w:rFonts w:hint="eastAsia" w:ascii="宋体" w:hAnsi="宋体"/>
              </w:rPr>
              <w:t>具体应用</w:t>
            </w:r>
            <w:r>
              <w:rPr>
                <w:rFonts w:ascii="宋体" w:hAnsi="宋体"/>
              </w:rPr>
              <w:t>方法</w:t>
            </w:r>
            <w:r>
              <w:rPr>
                <w:rFonts w:hint="eastAsia" w:ascii="宋体" w:hAnsi="宋体"/>
              </w:rPr>
              <w:t>展现</w:t>
            </w:r>
            <w:r>
              <w:rPr>
                <w:rFonts w:ascii="宋体" w:hAnsi="宋体"/>
              </w:rPr>
              <w:t>应用效果（</w:t>
            </w:r>
            <w:r>
              <w:rPr>
                <w:rFonts w:hint="eastAsia" w:ascii="宋体" w:hAnsi="宋体"/>
              </w:rPr>
              <w:t>5</w:t>
            </w:r>
            <w:r>
              <w:rPr>
                <w:rFonts w:ascii="宋体" w:hAnsi="宋体"/>
              </w:rPr>
              <w:t>分）</w:t>
            </w:r>
          </w:p>
        </w:tc>
        <w:tc>
          <w:tcPr>
            <w:tcW w:w="1264" w:type="dxa"/>
            <w:vMerge w:val="continue"/>
            <w:vAlign w:val="center"/>
          </w:tcPr>
          <w:p w14:paraId="65E11449">
            <w:pPr>
              <w:snapToGrid w:val="0"/>
              <w:jc w:val="center"/>
              <w:rPr>
                <w:rFonts w:ascii="宋体" w:hAnsi="宋体"/>
              </w:rPr>
            </w:pPr>
          </w:p>
        </w:tc>
      </w:tr>
      <w:tr w14:paraId="65E11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jc w:val="center"/>
        </w:trPr>
        <w:tc>
          <w:tcPr>
            <w:tcW w:w="1544" w:type="dxa"/>
            <w:vMerge w:val="continue"/>
            <w:vAlign w:val="center"/>
          </w:tcPr>
          <w:p w14:paraId="65E1144B">
            <w:pPr>
              <w:snapToGrid w:val="0"/>
              <w:jc w:val="center"/>
              <w:rPr>
                <w:rFonts w:ascii="宋体" w:hAnsi="宋体"/>
              </w:rPr>
            </w:pPr>
          </w:p>
        </w:tc>
        <w:tc>
          <w:tcPr>
            <w:tcW w:w="1568" w:type="dxa"/>
            <w:vMerge w:val="continue"/>
            <w:vAlign w:val="center"/>
          </w:tcPr>
          <w:p w14:paraId="65E1144C">
            <w:pPr>
              <w:snapToGrid w:val="0"/>
              <w:jc w:val="center"/>
              <w:rPr>
                <w:rFonts w:ascii="宋体" w:hAnsi="宋体"/>
              </w:rPr>
            </w:pPr>
          </w:p>
        </w:tc>
        <w:tc>
          <w:tcPr>
            <w:tcW w:w="4146" w:type="dxa"/>
            <w:vAlign w:val="center"/>
          </w:tcPr>
          <w:p w14:paraId="65E1144D">
            <w:pPr>
              <w:snapToGrid w:val="0"/>
              <w:rPr>
                <w:rFonts w:ascii="宋体" w:hAnsi="宋体"/>
              </w:rPr>
            </w:pPr>
            <w:r>
              <w:rPr>
                <w:rFonts w:ascii="宋体" w:hAnsi="宋体"/>
              </w:rPr>
              <w:t>分析逻辑清晰，推导严谨（5分）</w:t>
            </w:r>
          </w:p>
        </w:tc>
        <w:tc>
          <w:tcPr>
            <w:tcW w:w="1264" w:type="dxa"/>
            <w:vMerge w:val="continue"/>
            <w:vAlign w:val="center"/>
          </w:tcPr>
          <w:p w14:paraId="65E1144E">
            <w:pPr>
              <w:snapToGrid w:val="0"/>
              <w:jc w:val="center"/>
              <w:rPr>
                <w:rFonts w:ascii="宋体" w:hAnsi="宋体"/>
              </w:rPr>
            </w:pPr>
          </w:p>
        </w:tc>
      </w:tr>
      <w:tr w14:paraId="65E11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jc w:val="center"/>
        </w:trPr>
        <w:tc>
          <w:tcPr>
            <w:tcW w:w="1544" w:type="dxa"/>
            <w:vMerge w:val="continue"/>
            <w:vAlign w:val="center"/>
          </w:tcPr>
          <w:p w14:paraId="65E11450">
            <w:pPr>
              <w:snapToGrid w:val="0"/>
              <w:jc w:val="center"/>
              <w:rPr>
                <w:rFonts w:ascii="宋体" w:hAnsi="宋体"/>
              </w:rPr>
            </w:pPr>
          </w:p>
        </w:tc>
        <w:tc>
          <w:tcPr>
            <w:tcW w:w="1568" w:type="dxa"/>
            <w:vMerge w:val="continue"/>
            <w:vAlign w:val="center"/>
          </w:tcPr>
          <w:p w14:paraId="65E11451">
            <w:pPr>
              <w:snapToGrid w:val="0"/>
              <w:jc w:val="center"/>
              <w:rPr>
                <w:rFonts w:ascii="宋体" w:hAnsi="宋体"/>
              </w:rPr>
            </w:pPr>
          </w:p>
        </w:tc>
        <w:tc>
          <w:tcPr>
            <w:tcW w:w="4146" w:type="dxa"/>
            <w:vAlign w:val="center"/>
          </w:tcPr>
          <w:p w14:paraId="65E11452">
            <w:pPr>
              <w:snapToGrid w:val="0"/>
              <w:rPr>
                <w:rFonts w:ascii="宋体" w:hAnsi="宋体"/>
              </w:rPr>
            </w:pPr>
            <w:r>
              <w:rPr>
                <w:rFonts w:ascii="宋体" w:hAnsi="宋体"/>
              </w:rPr>
              <w:t>分析结果解释到位，能够得出合理的结论（</w:t>
            </w:r>
            <w:r>
              <w:rPr>
                <w:rFonts w:hint="eastAsia" w:ascii="宋体" w:hAnsi="宋体"/>
              </w:rPr>
              <w:t>5</w:t>
            </w:r>
            <w:r>
              <w:rPr>
                <w:rFonts w:ascii="宋体" w:hAnsi="宋体"/>
              </w:rPr>
              <w:t>分）</w:t>
            </w:r>
          </w:p>
        </w:tc>
        <w:tc>
          <w:tcPr>
            <w:tcW w:w="1264" w:type="dxa"/>
            <w:vMerge w:val="continue"/>
            <w:vAlign w:val="center"/>
          </w:tcPr>
          <w:p w14:paraId="65E11453">
            <w:pPr>
              <w:snapToGrid w:val="0"/>
              <w:jc w:val="center"/>
              <w:rPr>
                <w:rFonts w:ascii="宋体" w:hAnsi="宋体"/>
              </w:rPr>
            </w:pPr>
          </w:p>
        </w:tc>
      </w:tr>
      <w:tr w14:paraId="65E11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1544" w:type="dxa"/>
            <w:vMerge w:val="restart"/>
            <w:vAlign w:val="center"/>
          </w:tcPr>
          <w:p w14:paraId="65E11455">
            <w:pPr>
              <w:snapToGrid w:val="0"/>
              <w:jc w:val="center"/>
              <w:rPr>
                <w:rFonts w:ascii="宋体" w:hAnsi="宋体"/>
              </w:rPr>
            </w:pPr>
            <w:r>
              <w:rPr>
                <w:rFonts w:hint="eastAsia" w:ascii="宋体" w:hAnsi="宋体"/>
              </w:rPr>
              <w:t>素养目标</w:t>
            </w:r>
          </w:p>
          <w:p w14:paraId="65E11456">
            <w:pPr>
              <w:snapToGrid w:val="0"/>
              <w:jc w:val="center"/>
              <w:rPr>
                <w:rFonts w:ascii="宋体" w:hAnsi="宋体"/>
                <w:lang w:eastAsia="zh-TW"/>
              </w:rPr>
            </w:pPr>
          </w:p>
        </w:tc>
        <w:tc>
          <w:tcPr>
            <w:tcW w:w="1568" w:type="dxa"/>
            <w:vMerge w:val="restart"/>
            <w:vAlign w:val="center"/>
          </w:tcPr>
          <w:p w14:paraId="65E11457">
            <w:pPr>
              <w:snapToGrid w:val="0"/>
              <w:jc w:val="center"/>
              <w:rPr>
                <w:rFonts w:ascii="宋体" w:hAnsi="宋体"/>
              </w:rPr>
            </w:pPr>
            <w:r>
              <w:rPr>
                <w:rFonts w:hint="eastAsia" w:ascii="宋体" w:hAnsi="宋体"/>
              </w:rPr>
              <w:t>报告结构</w:t>
            </w:r>
          </w:p>
          <w:p w14:paraId="65E11458">
            <w:pPr>
              <w:pStyle w:val="2"/>
              <w:jc w:val="center"/>
            </w:pPr>
            <w:r>
              <w:rPr>
                <w:rFonts w:hint="eastAsia" w:ascii="宋体" w:hAnsi="宋体"/>
                <w:sz w:val="21"/>
                <w:szCs w:val="21"/>
              </w:rPr>
              <w:t>（30分）</w:t>
            </w:r>
          </w:p>
          <w:p w14:paraId="65E11459">
            <w:pPr>
              <w:snapToGrid w:val="0"/>
              <w:jc w:val="center"/>
              <w:rPr>
                <w:rFonts w:ascii="宋体" w:hAnsi="宋体"/>
              </w:rPr>
            </w:pPr>
          </w:p>
        </w:tc>
        <w:tc>
          <w:tcPr>
            <w:tcW w:w="4146" w:type="dxa"/>
            <w:vAlign w:val="center"/>
          </w:tcPr>
          <w:p w14:paraId="65E1145A">
            <w:pPr>
              <w:snapToGrid w:val="0"/>
              <w:rPr>
                <w:rFonts w:ascii="宋体" w:hAnsi="宋体"/>
              </w:rPr>
            </w:pPr>
            <w:r>
              <w:rPr>
                <w:rFonts w:hint="eastAsia" w:ascii="宋体" w:hAnsi="宋体"/>
              </w:rPr>
              <w:t>报告</w:t>
            </w:r>
            <w:r>
              <w:rPr>
                <w:rFonts w:ascii="宋体" w:hAnsi="宋体"/>
              </w:rPr>
              <w:t>全面且有逻辑（</w:t>
            </w:r>
            <w:r>
              <w:rPr>
                <w:rFonts w:hint="eastAsia" w:ascii="宋体" w:hAnsi="宋体"/>
              </w:rPr>
              <w:t>10</w:t>
            </w:r>
            <w:r>
              <w:rPr>
                <w:rFonts w:ascii="宋体" w:hAnsi="宋体"/>
              </w:rPr>
              <w:t>分）</w:t>
            </w:r>
          </w:p>
        </w:tc>
        <w:tc>
          <w:tcPr>
            <w:tcW w:w="1264" w:type="dxa"/>
            <w:vAlign w:val="center"/>
          </w:tcPr>
          <w:p w14:paraId="65E1145B">
            <w:pPr>
              <w:snapToGrid w:val="0"/>
              <w:jc w:val="center"/>
              <w:rPr>
                <w:rFonts w:ascii="宋体" w:hAnsi="宋体"/>
                <w:lang w:eastAsia="zh-TW"/>
              </w:rPr>
            </w:pPr>
          </w:p>
        </w:tc>
      </w:tr>
      <w:tr w14:paraId="65E11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1544" w:type="dxa"/>
            <w:vMerge w:val="continue"/>
            <w:vAlign w:val="center"/>
          </w:tcPr>
          <w:p w14:paraId="65E1145D">
            <w:pPr>
              <w:snapToGrid w:val="0"/>
              <w:jc w:val="center"/>
              <w:rPr>
                <w:rFonts w:ascii="宋体" w:hAnsi="宋体"/>
                <w:lang w:eastAsia="zh-TW"/>
              </w:rPr>
            </w:pPr>
          </w:p>
        </w:tc>
        <w:tc>
          <w:tcPr>
            <w:tcW w:w="1568" w:type="dxa"/>
            <w:vMerge w:val="continue"/>
            <w:vAlign w:val="center"/>
          </w:tcPr>
          <w:p w14:paraId="65E1145E">
            <w:pPr>
              <w:snapToGrid w:val="0"/>
              <w:jc w:val="center"/>
              <w:rPr>
                <w:rFonts w:ascii="宋体" w:hAnsi="宋体"/>
                <w:b/>
                <w:bCs/>
              </w:rPr>
            </w:pPr>
          </w:p>
        </w:tc>
        <w:tc>
          <w:tcPr>
            <w:tcW w:w="4146" w:type="dxa"/>
            <w:vAlign w:val="center"/>
          </w:tcPr>
          <w:p w14:paraId="65E1145F">
            <w:pPr>
              <w:snapToGrid w:val="0"/>
              <w:rPr>
                <w:rFonts w:ascii="宋体" w:hAnsi="宋体"/>
              </w:rPr>
            </w:pPr>
            <w:r>
              <w:rPr>
                <w:rFonts w:ascii="宋体" w:hAnsi="宋体"/>
              </w:rPr>
              <w:t>数据分析方法和案例分析框架明确（</w:t>
            </w:r>
            <w:r>
              <w:rPr>
                <w:rFonts w:hint="eastAsia" w:ascii="宋体" w:hAnsi="宋体"/>
              </w:rPr>
              <w:t>10</w:t>
            </w:r>
            <w:r>
              <w:rPr>
                <w:rFonts w:ascii="宋体" w:hAnsi="宋体"/>
              </w:rPr>
              <w:t>分）</w:t>
            </w:r>
          </w:p>
        </w:tc>
        <w:tc>
          <w:tcPr>
            <w:tcW w:w="1264" w:type="dxa"/>
            <w:vAlign w:val="center"/>
          </w:tcPr>
          <w:p w14:paraId="65E11460">
            <w:pPr>
              <w:snapToGrid w:val="0"/>
              <w:jc w:val="center"/>
              <w:rPr>
                <w:rFonts w:ascii="宋体" w:hAnsi="宋体"/>
                <w:lang w:eastAsia="zh-TW"/>
              </w:rPr>
            </w:pPr>
          </w:p>
        </w:tc>
      </w:tr>
      <w:tr w14:paraId="65E11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1544" w:type="dxa"/>
            <w:vMerge w:val="continue"/>
            <w:vAlign w:val="center"/>
          </w:tcPr>
          <w:p w14:paraId="65E11462">
            <w:pPr>
              <w:snapToGrid w:val="0"/>
              <w:jc w:val="center"/>
              <w:rPr>
                <w:rFonts w:ascii="宋体" w:hAnsi="宋体"/>
                <w:lang w:eastAsia="zh-TW"/>
              </w:rPr>
            </w:pPr>
          </w:p>
        </w:tc>
        <w:tc>
          <w:tcPr>
            <w:tcW w:w="1568" w:type="dxa"/>
            <w:vMerge w:val="continue"/>
            <w:vAlign w:val="center"/>
          </w:tcPr>
          <w:p w14:paraId="65E11463">
            <w:pPr>
              <w:snapToGrid w:val="0"/>
              <w:jc w:val="center"/>
              <w:rPr>
                <w:rFonts w:ascii="宋体" w:hAnsi="宋体"/>
                <w:b/>
                <w:bCs/>
              </w:rPr>
            </w:pPr>
          </w:p>
        </w:tc>
        <w:tc>
          <w:tcPr>
            <w:tcW w:w="4146" w:type="dxa"/>
            <w:vAlign w:val="center"/>
          </w:tcPr>
          <w:p w14:paraId="65E11464">
            <w:pPr>
              <w:snapToGrid w:val="0"/>
              <w:rPr>
                <w:rFonts w:ascii="宋体" w:hAnsi="宋体"/>
              </w:rPr>
            </w:pPr>
            <w:r>
              <w:rPr>
                <w:rFonts w:ascii="宋体" w:hAnsi="宋体"/>
              </w:rPr>
              <w:t>结论和建议总结到位，逻辑连贯（</w:t>
            </w:r>
            <w:r>
              <w:rPr>
                <w:rFonts w:hint="eastAsia" w:ascii="宋体" w:hAnsi="宋体"/>
              </w:rPr>
              <w:t>10</w:t>
            </w:r>
            <w:r>
              <w:rPr>
                <w:rFonts w:ascii="宋体" w:hAnsi="宋体"/>
              </w:rPr>
              <w:t>分）</w:t>
            </w:r>
          </w:p>
        </w:tc>
        <w:tc>
          <w:tcPr>
            <w:tcW w:w="1264" w:type="dxa"/>
            <w:vAlign w:val="center"/>
          </w:tcPr>
          <w:p w14:paraId="65E11465">
            <w:pPr>
              <w:snapToGrid w:val="0"/>
              <w:jc w:val="center"/>
              <w:rPr>
                <w:rFonts w:ascii="宋体" w:hAnsi="宋体"/>
                <w:lang w:eastAsia="zh-TW"/>
              </w:rPr>
            </w:pPr>
          </w:p>
        </w:tc>
      </w:tr>
      <w:tr w14:paraId="65E11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7258" w:type="dxa"/>
            <w:gridSpan w:val="3"/>
            <w:vAlign w:val="center"/>
          </w:tcPr>
          <w:p w14:paraId="65E11467">
            <w:pPr>
              <w:snapToGrid w:val="0"/>
              <w:rPr>
                <w:lang w:eastAsia="zh-TW"/>
              </w:rPr>
            </w:pPr>
            <w:r>
              <w:rPr>
                <w:lang w:eastAsia="zh-TW"/>
              </w:rPr>
              <w:t>教师签名：                   日期：</w:t>
            </w:r>
          </w:p>
        </w:tc>
        <w:tc>
          <w:tcPr>
            <w:tcW w:w="1264" w:type="dxa"/>
            <w:vAlign w:val="center"/>
          </w:tcPr>
          <w:p w14:paraId="65E11468">
            <w:pPr>
              <w:snapToGrid w:val="0"/>
              <w:rPr>
                <w:rFonts w:ascii="宋体" w:hAnsi="宋体"/>
              </w:rPr>
            </w:pPr>
            <w:r>
              <w:rPr>
                <w:rFonts w:hint="eastAsia" w:ascii="宋体" w:hAnsi="宋体"/>
              </w:rPr>
              <w:t>总分：</w:t>
            </w:r>
          </w:p>
        </w:tc>
      </w:tr>
    </w:tbl>
    <w:p w14:paraId="65E1146A">
      <w:pPr>
        <w:widowControl/>
        <w:jc w:val="left"/>
        <w:rPr>
          <w:b/>
          <w:bCs/>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6EEDC82-5FB2-4054-A68C-F4364E8055E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EEA701FA-C288-48DB-A968-20E2B8A84892}"/>
  </w:font>
  <w:font w:name="Segoe UI">
    <w:panose1 w:val="020B0502040204020203"/>
    <w:charset w:val="00"/>
    <w:family w:val="swiss"/>
    <w:pitch w:val="default"/>
    <w:sig w:usb0="E4002EFF" w:usb1="C000E47F" w:usb2="00000009" w:usb3="00000000" w:csb0="200001FF" w:csb1="00000000"/>
    <w:embedRegular r:id="rId3" w:fontKey="{BB0AFEAE-DCCE-44C8-AD48-5758C0073FE3}"/>
  </w:font>
  <w:font w:name="Consolas">
    <w:panose1 w:val="020B0609020204030204"/>
    <w:charset w:val="00"/>
    <w:family w:val="auto"/>
    <w:pitch w:val="default"/>
    <w:sig w:usb0="E00006FF" w:usb1="0000FCFF" w:usb2="00000001" w:usb3="00000000" w:csb0="6000019F" w:csb1="DFD70000"/>
    <w:embedRegular r:id="rId4" w:fontKey="{EA720D9D-0285-43D1-93A9-7CB6C4C6D382}"/>
  </w:font>
  <w:font w:name="仿宋_GB2312">
    <w:altName w:val="仿宋"/>
    <w:panose1 w:val="020B0604020202020204"/>
    <w:charset w:val="86"/>
    <w:family w:val="modern"/>
    <w:pitch w:val="default"/>
    <w:sig w:usb0="00000000" w:usb1="00000000" w:usb2="00000010" w:usb3="00000000" w:csb0="00040000" w:csb1="00000000"/>
    <w:embedRegular r:id="rId5" w:fontKey="{43DB40B4-EA64-44F0-95EF-212E35DA90AF}"/>
  </w:font>
  <w:font w:name="仿宋">
    <w:panose1 w:val="02010609060101010101"/>
    <w:charset w:val="86"/>
    <w:family w:val="auto"/>
    <w:pitch w:val="default"/>
    <w:sig w:usb0="800002BF" w:usb1="38CF7CFA" w:usb2="00000016" w:usb3="00000000" w:csb0="00040001" w:csb1="00000000"/>
  </w:font>
  <w:font w:name="方正小标宋简体">
    <w:altName w:val="方正舒体"/>
    <w:panose1 w:val="020B0604020202020204"/>
    <w:charset w:val="86"/>
    <w:family w:val="auto"/>
    <w:pitch w:val="default"/>
    <w:sig w:usb0="00000000" w:usb1="00000000" w:usb2="00000000" w:usb3="00000000" w:csb0="00040000" w:csb1="00000000"/>
    <w:embedRegular r:id="rId6" w:fontKey="{9E170764-EA3A-46DE-BDC2-1BA1ECE16992}"/>
  </w:font>
  <w:font w:name="方正舒体">
    <w:panose1 w:val="02010601030101010101"/>
    <w:charset w:val="86"/>
    <w:family w:val="auto"/>
    <w:pitch w:val="default"/>
    <w:sig w:usb0="00000003" w:usb1="080E0000" w:usb2="00000000" w:usb3="00000000" w:csb0="00040000" w:csb1="00000000"/>
  </w:font>
  <w:font w:name="KSOFBE25B2F9">
    <w:panose1 w:val="0201060103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E0AB40"/>
    <w:multiLevelType w:val="singleLevel"/>
    <w:tmpl w:val="B9E0AB40"/>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A4YWJjNDcwZGQ0MjFjM2NhMWZjNGI3NzBjZGIzMDEifQ=="/>
  </w:docVars>
  <w:rsids>
    <w:rsidRoot w:val="009D00A3"/>
    <w:rsid w:val="00016280"/>
    <w:rsid w:val="0002088C"/>
    <w:rsid w:val="00022238"/>
    <w:rsid w:val="00023D15"/>
    <w:rsid w:val="0002419F"/>
    <w:rsid w:val="00027CCD"/>
    <w:rsid w:val="00035F2F"/>
    <w:rsid w:val="00046D6F"/>
    <w:rsid w:val="0005756B"/>
    <w:rsid w:val="000778ED"/>
    <w:rsid w:val="00092AFE"/>
    <w:rsid w:val="000C628F"/>
    <w:rsid w:val="000E3360"/>
    <w:rsid w:val="00101B95"/>
    <w:rsid w:val="00145CB4"/>
    <w:rsid w:val="001460B8"/>
    <w:rsid w:val="00186797"/>
    <w:rsid w:val="001B0EFD"/>
    <w:rsid w:val="001B63E8"/>
    <w:rsid w:val="001B76E4"/>
    <w:rsid w:val="001D51C9"/>
    <w:rsid w:val="001D616B"/>
    <w:rsid w:val="00234FE1"/>
    <w:rsid w:val="002459CE"/>
    <w:rsid w:val="0029373D"/>
    <w:rsid w:val="00293C3C"/>
    <w:rsid w:val="002E0DBB"/>
    <w:rsid w:val="002E45C1"/>
    <w:rsid w:val="00311F2C"/>
    <w:rsid w:val="00315BD3"/>
    <w:rsid w:val="003168F8"/>
    <w:rsid w:val="00357EDE"/>
    <w:rsid w:val="00382BB4"/>
    <w:rsid w:val="003D210A"/>
    <w:rsid w:val="003E6353"/>
    <w:rsid w:val="003F7BBD"/>
    <w:rsid w:val="004006B8"/>
    <w:rsid w:val="004031E5"/>
    <w:rsid w:val="004034CC"/>
    <w:rsid w:val="00422070"/>
    <w:rsid w:val="004269D8"/>
    <w:rsid w:val="00435039"/>
    <w:rsid w:val="00447A7B"/>
    <w:rsid w:val="0047369F"/>
    <w:rsid w:val="0047671D"/>
    <w:rsid w:val="00496D72"/>
    <w:rsid w:val="004B39B6"/>
    <w:rsid w:val="004D2589"/>
    <w:rsid w:val="004E7505"/>
    <w:rsid w:val="00500A3F"/>
    <w:rsid w:val="00506018"/>
    <w:rsid w:val="00511397"/>
    <w:rsid w:val="00576BEB"/>
    <w:rsid w:val="0057726F"/>
    <w:rsid w:val="00577FFA"/>
    <w:rsid w:val="00581BE3"/>
    <w:rsid w:val="0059172F"/>
    <w:rsid w:val="005A036B"/>
    <w:rsid w:val="005C78EF"/>
    <w:rsid w:val="005D2F8F"/>
    <w:rsid w:val="005E158B"/>
    <w:rsid w:val="005E5EFC"/>
    <w:rsid w:val="006022CF"/>
    <w:rsid w:val="00695C1C"/>
    <w:rsid w:val="006B2E50"/>
    <w:rsid w:val="006F029B"/>
    <w:rsid w:val="007100EB"/>
    <w:rsid w:val="00722448"/>
    <w:rsid w:val="00743C0A"/>
    <w:rsid w:val="00762838"/>
    <w:rsid w:val="007816C7"/>
    <w:rsid w:val="007F5EBF"/>
    <w:rsid w:val="00813695"/>
    <w:rsid w:val="00835518"/>
    <w:rsid w:val="008475E1"/>
    <w:rsid w:val="0085241E"/>
    <w:rsid w:val="008B3BD9"/>
    <w:rsid w:val="008E509D"/>
    <w:rsid w:val="008F2D0E"/>
    <w:rsid w:val="008F56A7"/>
    <w:rsid w:val="009377B8"/>
    <w:rsid w:val="00994245"/>
    <w:rsid w:val="009A61EE"/>
    <w:rsid w:val="009B6A46"/>
    <w:rsid w:val="009C5A08"/>
    <w:rsid w:val="009D00A3"/>
    <w:rsid w:val="009D6D3B"/>
    <w:rsid w:val="009E120A"/>
    <w:rsid w:val="009E7A2C"/>
    <w:rsid w:val="009F2A43"/>
    <w:rsid w:val="009F7BFC"/>
    <w:rsid w:val="00A02EF6"/>
    <w:rsid w:val="00A30BF1"/>
    <w:rsid w:val="00A37E1F"/>
    <w:rsid w:val="00A46C6A"/>
    <w:rsid w:val="00A65307"/>
    <w:rsid w:val="00AA60E1"/>
    <w:rsid w:val="00AA6CA6"/>
    <w:rsid w:val="00AA7566"/>
    <w:rsid w:val="00AC691D"/>
    <w:rsid w:val="00AD343C"/>
    <w:rsid w:val="00AD3B2E"/>
    <w:rsid w:val="00AE2F5F"/>
    <w:rsid w:val="00AF2F38"/>
    <w:rsid w:val="00B105B6"/>
    <w:rsid w:val="00B14149"/>
    <w:rsid w:val="00B14225"/>
    <w:rsid w:val="00B14A70"/>
    <w:rsid w:val="00B2085C"/>
    <w:rsid w:val="00B25A17"/>
    <w:rsid w:val="00B30212"/>
    <w:rsid w:val="00B37E16"/>
    <w:rsid w:val="00B43441"/>
    <w:rsid w:val="00B77E8A"/>
    <w:rsid w:val="00BA299F"/>
    <w:rsid w:val="00BB6B8F"/>
    <w:rsid w:val="00BC0247"/>
    <w:rsid w:val="00BC4EF7"/>
    <w:rsid w:val="00C262D9"/>
    <w:rsid w:val="00C52389"/>
    <w:rsid w:val="00C703E8"/>
    <w:rsid w:val="00CB709A"/>
    <w:rsid w:val="00CC1810"/>
    <w:rsid w:val="00CC1A19"/>
    <w:rsid w:val="00CC1C23"/>
    <w:rsid w:val="00CD582D"/>
    <w:rsid w:val="00CE769A"/>
    <w:rsid w:val="00CF5B78"/>
    <w:rsid w:val="00D17123"/>
    <w:rsid w:val="00D44D92"/>
    <w:rsid w:val="00D62C11"/>
    <w:rsid w:val="00D62F70"/>
    <w:rsid w:val="00D7589F"/>
    <w:rsid w:val="00DC21C7"/>
    <w:rsid w:val="00DD6020"/>
    <w:rsid w:val="00DE1185"/>
    <w:rsid w:val="00E023EB"/>
    <w:rsid w:val="00E06D81"/>
    <w:rsid w:val="00E3193D"/>
    <w:rsid w:val="00E3735A"/>
    <w:rsid w:val="00E51EEF"/>
    <w:rsid w:val="00E7431A"/>
    <w:rsid w:val="00E80CFD"/>
    <w:rsid w:val="00EC4287"/>
    <w:rsid w:val="00EC6E7A"/>
    <w:rsid w:val="00EC7D83"/>
    <w:rsid w:val="00F01CEA"/>
    <w:rsid w:val="00F257D9"/>
    <w:rsid w:val="00F71803"/>
    <w:rsid w:val="00FA29F6"/>
    <w:rsid w:val="00FD4843"/>
    <w:rsid w:val="00FE4056"/>
    <w:rsid w:val="00FF036C"/>
    <w:rsid w:val="0786789E"/>
    <w:rsid w:val="08C636D1"/>
    <w:rsid w:val="08FA1588"/>
    <w:rsid w:val="0A8E01DA"/>
    <w:rsid w:val="0F81030D"/>
    <w:rsid w:val="105772C0"/>
    <w:rsid w:val="1994784E"/>
    <w:rsid w:val="1E297E7C"/>
    <w:rsid w:val="23112815"/>
    <w:rsid w:val="30E14C29"/>
    <w:rsid w:val="353D7F83"/>
    <w:rsid w:val="363E4EFD"/>
    <w:rsid w:val="387C0BB8"/>
    <w:rsid w:val="39B41FF4"/>
    <w:rsid w:val="3DE47B36"/>
    <w:rsid w:val="454B7A6B"/>
    <w:rsid w:val="4E6D76D3"/>
    <w:rsid w:val="5607054A"/>
    <w:rsid w:val="592941F7"/>
    <w:rsid w:val="5ACD1A01"/>
    <w:rsid w:val="5F610B8F"/>
    <w:rsid w:val="5FEF5627"/>
    <w:rsid w:val="65AF317D"/>
    <w:rsid w:val="754B6D5E"/>
    <w:rsid w:val="76DC6417"/>
    <w:rsid w:val="78DE7332"/>
    <w:rsid w:val="79B5116F"/>
    <w:rsid w:val="7E9E4528"/>
    <w:rsid w:val="7FE77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semiHidden="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1"/>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footnote text"/>
    <w:basedOn w:val="1"/>
    <w:unhideWhenUsed/>
    <w:qFormat/>
    <w:uiPriority w:val="99"/>
    <w:pPr>
      <w:widowControl/>
      <w:jc w:val="left"/>
    </w:pPr>
    <w:rPr>
      <w:kern w:val="0"/>
      <w:sz w:val="18"/>
      <w:szCs w:val="20"/>
    </w:rPr>
  </w:style>
  <w:style w:type="paragraph" w:styleId="3">
    <w:name w:val="footer"/>
    <w:basedOn w:val="1"/>
    <w:link w:val="12"/>
    <w:unhideWhenUsed/>
    <w:qFormat/>
    <w:uiPriority w:val="99"/>
    <w:pPr>
      <w:tabs>
        <w:tab w:val="center" w:pos="4153"/>
        <w:tab w:val="right" w:pos="8306"/>
      </w:tabs>
      <w:snapToGrid w:val="0"/>
      <w:jc w:val="left"/>
    </w:pPr>
    <w:rPr>
      <w:sz w:val="18"/>
      <w:szCs w:val="18"/>
    </w:rPr>
  </w:style>
  <w:style w:type="paragraph" w:styleId="4">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unhideWhenUsed/>
    <w:qFormat/>
    <w:uiPriority w:val="99"/>
    <w:pPr>
      <w:spacing w:beforeAutospacing="1" w:afterAutospacing="1"/>
      <w:jc w:val="left"/>
    </w:pPr>
    <w:rPr>
      <w:kern w:val="0"/>
      <w:sz w:val="24"/>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page number"/>
    <w:qFormat/>
    <w:uiPriority w:val="0"/>
  </w:style>
  <w:style w:type="paragraph" w:styleId="10">
    <w:name w:val="List Paragraph"/>
    <w:basedOn w:val="1"/>
    <w:qFormat/>
    <w:uiPriority w:val="34"/>
    <w:pPr>
      <w:ind w:firstLine="420" w:firstLineChars="200"/>
    </w:pPr>
  </w:style>
  <w:style w:type="character" w:customStyle="1" w:styleId="11">
    <w:name w:val="页眉 字符"/>
    <w:basedOn w:val="8"/>
    <w:link w:val="4"/>
    <w:qFormat/>
    <w:uiPriority w:val="99"/>
    <w:rPr>
      <w:rFonts w:ascii="Times New Roman" w:hAnsi="Times New Roman" w:eastAsia="宋体" w:cs="Times New Roman"/>
      <w:sz w:val="18"/>
      <w:szCs w:val="18"/>
    </w:rPr>
  </w:style>
  <w:style w:type="character" w:customStyle="1" w:styleId="12">
    <w:name w:val="页脚 字符"/>
    <w:basedOn w:val="8"/>
    <w:link w:val="3"/>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A5A6EE-5E0E-4373-9380-A5E5C81BF2DB}">
  <ds:schemaRefs/>
</ds:datastoreItem>
</file>

<file path=docProps/app.xml><?xml version="1.0" encoding="utf-8"?>
<Properties xmlns="http://schemas.openxmlformats.org/officeDocument/2006/extended-properties" xmlns:vt="http://schemas.openxmlformats.org/officeDocument/2006/docPropsVTypes">
  <Template>Normal.dotm</Template>
  <Pages>21</Pages>
  <Words>2837</Words>
  <Characters>3572</Characters>
  <Lines>15</Lines>
  <Paragraphs>4</Paragraphs>
  <TotalTime>13</TotalTime>
  <ScaleCrop>false</ScaleCrop>
  <LinksUpToDate>false</LinksUpToDate>
  <CharactersWithSpaces>3966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2022-03-18T11:46:00Z</dcterms:created>
  <dc:creator>施 逸菲</dc:creator>
  <cp:lastModifiedBy>WPS_1665158381</cp:lastModifiedBy>
  <dcterms:modified xsi:type="dcterms:W3CDTF">2026-06-18T09:30:55Z</dcterms:modified>
  <cp:revision>69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E444A305292B4EFB99157759E8A75E6E_13</vt:lpwstr>
  </property>
  <property fmtid="{D5CDD505-2E9C-101B-9397-08002B2CF9AE}" pid="4" name="KSOTemplateDocerSaveRecord">
    <vt:lpwstr>eyJoZGlkIjoiNTM3MzVjZmMzZDYzNjQyMWFjNTBmMzhkZDU4OWM4OTciLCJ1c2VySWQiOiIxNDE2NjM3MTY5In0=</vt:lpwstr>
  </property>
</Properties>
</file>