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sz w:val="40"/>
        </w:rPr>
        <w:t>基于机器学习的有机化合物水溶性预测实验报告</w:t>
      </w:r>
    </w:p>
    <w:p>
      <w:pPr>
        <w:spacing w:after="200"/>
        <w:jc w:val="center"/>
      </w:pPr>
      <w:r>
        <w:rPr>
          <w:rFonts w:ascii="Times New Roman" w:hAnsi="Times New Roman" w:eastAsia="宋体"/>
          <w:b w:val="0"/>
          <w:sz w:val="24"/>
        </w:rPr>
        <w:t>——基于 ESOL 数据集与 RDKit 分子描述符的回归建模</w:t>
      </w:r>
    </w:p>
    <w:p>
      <w:pPr>
        <w:spacing w:before="120" w:after="80"/>
      </w:pPr>
      <w:r>
        <w:rPr>
          <w:rFonts w:ascii="Times New Roman" w:hAnsi="Times New Roman" w:eastAsia="黑体"/>
          <w:b/>
          <w:color w:val="000000"/>
          <w:sz w:val="30"/>
        </w:rPr>
        <w:t>一、选题说明</w:t>
      </w:r>
    </w:p>
    <w:p>
      <w:pPr>
        <w:spacing w:before="120" w:after="80"/>
      </w:pPr>
      <w:r>
        <w:rPr>
          <w:rFonts w:ascii="Times New Roman" w:hAnsi="Times New Roman" w:eastAsia="黑体"/>
          <w:b/>
          <w:color w:val="000000"/>
          <w:sz w:val="26"/>
        </w:rPr>
        <w:t>1. 数据集的领域背景、采集方法与标注方法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在药物化学与环境化学领域，化合物的水溶性是决定其吸收、分布、代谢及环境迁移行为的关键理化性质。传统的水溶性测定依赖实验，存在成本高、周期长的问题，而借助机器学习模型可直接由分子结构快速预测水溶性，对早期药物筛选与化学品环境风险评估具有实用价值。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本报告采用公开标准数据集 ESOL（又称 Delaney 数据集），数据来源于 MoleculeNet / DeepChem 公开发布的化学信息学基准库，无需自行开展实验。数据集收录 1128 种有机化合物，每条记录以 SMILES 字符串描述分子结构，并附带实验室实测的水溶性对数值（logS，单位 log(mol/L)）。标注方式为：以实测 logS 作为回归任务的连续型标签，分子结构特征则通过 RDKit 由 SMILES 自动计算得到。</w:t>
      </w:r>
    </w:p>
    <w:p>
      <w:pPr>
        <w:spacing w:before="120" w:after="80"/>
      </w:pPr>
      <w:r>
        <w:rPr>
          <w:rFonts w:ascii="Times New Roman" w:hAnsi="Times New Roman" w:eastAsia="黑体"/>
          <w:b/>
          <w:color w:val="000000"/>
          <w:sz w:val="26"/>
        </w:rPr>
        <w:t>2. 数据属性、样本量与数据样本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数据集共 1128 条样本，全部为有效记录。原始字段包含化合物名称、SMILES 与实测 logS；在此基础上，本研究使用 RDKit 从 SMILES 解析并计算 12 个常用分子描述符作为模型输入特征。主要字段及含义如表 1-1 所示。</w:t>
      </w:r>
    </w:p>
    <w:p>
      <w:pPr>
        <w:jc w:val="center"/>
      </w:pPr>
      <w:r>
        <w:rPr>
          <w:rFonts w:ascii="Times New Roman" w:hAnsi="Times New Roman" w:eastAsia="黑体"/>
          <w:b w:val="0"/>
          <w:sz w:val="21"/>
        </w:rPr>
        <w:t>表 1-1 数据集主要属性及含义说明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字段 / 特征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含义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类型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Compound ID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化合物名称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文本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smiles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分子结构的 SMILES 字符串表示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文本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logS（标签）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实验测定的水溶性对数值 log(mol/L)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数值/标签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MolWt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分子量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数值特征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MolLogP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脂水分配系数（亲脂性）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数值特征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TPSA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拓扑极性表面积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数值特征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NumHDonors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氢键供体数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数值特征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NumHAcceptors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氢键受体数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数值特征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NumRotatableBonds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可旋转键数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数值特征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NumAromaticRings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芳香环数量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数值特征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RingCount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环系总数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数值特征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FractionCSP3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sp³ 杂化碳原子占比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数值特征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HeavyAtomCount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重原子（非氢原子）数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数值特征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MolMR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摩尔折射率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数值特征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LabuteASA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Labute 近似分子表面积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数值特征</w:t>
            </w:r>
          </w:p>
        </w:tc>
      </w:tr>
    </w:tbl>
    <w:p>
      <w:pPr>
        <w:spacing w:after="0"/>
      </w:pP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logS 标签的统计特征为：最小值 -11.60、最大值 1.58、均值 -3.05、标准差 2.10，取值整体偏负，符合多数有机物水溶性较低的实际分布。从数据集中选取 5 个代表性样本，如表 1-2 所示。</w:t>
      </w:r>
    </w:p>
    <w:p>
      <w:pPr>
        <w:jc w:val="center"/>
      </w:pPr>
      <w:r>
        <w:rPr>
          <w:rFonts w:ascii="Times New Roman" w:hAnsi="Times New Roman" w:eastAsia="黑体"/>
          <w:b w:val="0"/>
          <w:sz w:val="21"/>
        </w:rPr>
        <w:t>表 1-2 数据样本示例（5 条）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Compound ID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SMILES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实测 logS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Amigdalin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 xml:space="preserve">OCC3OC(OCC2OC(OC(C#N)c1ccccc1)C(O)C(O)C2O)C(O)C(O)C3O 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-0.77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Fenfuram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Cc1occc1C(=O)Nc2ccccc2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-3.3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citral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CC(C)=CCCC(C)=CC(=O)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-2.06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Picene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c1ccc2c(c1)ccc3c2ccc4c5ccccc5ccc43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-7.87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Thiophene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c1ccsc1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-1.33</w:t>
            </w:r>
          </w:p>
        </w:tc>
      </w:tr>
    </w:tbl>
    <w:p>
      <w:pPr>
        <w:spacing w:after="0"/>
      </w:pPr>
    </w:p>
    <w:p>
      <w:pPr>
        <w:spacing w:before="120" w:after="80"/>
      </w:pPr>
      <w:r>
        <w:rPr>
          <w:rFonts w:ascii="Times New Roman" w:hAnsi="Times New Roman" w:eastAsia="黑体"/>
          <w:b/>
          <w:color w:val="000000"/>
          <w:sz w:val="26"/>
        </w:rPr>
        <w:t>3. 任务目标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本任务的业务目标是：构建一个由分子结构预测有机化合物水溶性（logS）的回归模型，实现“输入分子 SMILES → 输出水溶性预测值”的快速估计能力，从而在药物研发早期与环境风险评估中替代部分高成本实验，辅助化合物的筛选与排序。</w:t>
      </w:r>
    </w:p>
    <w:p>
      <w:pPr>
        <w:spacing w:before="120" w:after="80"/>
      </w:pPr>
      <w:r>
        <w:rPr>
          <w:rFonts w:ascii="Times New Roman" w:hAnsi="Times New Roman" w:eastAsia="黑体"/>
          <w:b/>
          <w:color w:val="000000"/>
          <w:sz w:val="30"/>
        </w:rPr>
        <w:t>二、建模实现过程及结果分析</w:t>
      </w:r>
    </w:p>
    <w:p>
      <w:pPr>
        <w:spacing w:before="120" w:after="80"/>
      </w:pPr>
      <w:r>
        <w:rPr>
          <w:rFonts w:ascii="Times New Roman" w:hAnsi="Times New Roman" w:eastAsia="黑体"/>
          <w:b/>
          <w:color w:val="000000"/>
          <w:sz w:val="26"/>
        </w:rPr>
        <w:t>1. 建模任务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本任务属于监督学习中的回归分析：自变量为 RDKit 提取的 12 维分子描述符，因变量为连续型的水溶性 logS 值。通过拟合描述符与 logS 之间的非线性映射关系，实现对未知化合物水溶性的定量预测，并对多种模型的预测性能进行对比评估。</w:t>
      </w:r>
    </w:p>
    <w:p>
      <w:pPr>
        <w:spacing w:before="120" w:after="80"/>
      </w:pPr>
      <w:r>
        <w:rPr>
          <w:rFonts w:ascii="Times New Roman" w:hAnsi="Times New Roman" w:eastAsia="黑体"/>
          <w:b/>
          <w:color w:val="000000"/>
          <w:sz w:val="26"/>
        </w:rPr>
        <w:t>2. 数据预处理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预处理流程包括：①使用 RDKit 的 MolFromSmiles 解析每条 SMILES，对无法解析的非法分子做剔除处理；②对每个有效分子计算 12 个分子描述符，构建特征矩阵；③将特征与 logS 标签合并并删除缺失值；④按 8:2 比例随机划分训练集（约 902 条）与测试集（约 226 条），随机种子固定为 42 以保证可复现；⑤对线性回归与神经网络模型，使用 StandardScaler 对特征做标准化（树模型对量纲不敏感，无需标准化）。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数据探查方面，对 logS 的分布及其与分子量的关系进行了可视化（图 2-1），并进一步分析各分子描述符与水溶性的相关性（图 2-2）。可见 logS 近似单峰分布，且分子量越大、亲脂性越强的化合物水溶性总体越低，与化学常识一致。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669280" cy="206155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_eda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206155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20"/>
        <w:jc w:val="center"/>
      </w:pPr>
      <w:r>
        <w:rPr>
          <w:rFonts w:ascii="Times New Roman" w:hAnsi="Times New Roman" w:eastAsia="黑体"/>
          <w:b w:val="0"/>
          <w:sz w:val="21"/>
        </w:rPr>
        <w:t>图 2-1 水溶性 logS 分布及其与分子量的关系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4754880" cy="363608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_corr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4880" cy="363608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20"/>
        <w:jc w:val="center"/>
      </w:pPr>
      <w:r>
        <w:rPr>
          <w:rFonts w:ascii="Times New Roman" w:hAnsi="Times New Roman" w:eastAsia="黑体"/>
          <w:b w:val="0"/>
          <w:sz w:val="21"/>
        </w:rPr>
        <w:t>图 2-2 分子描述符与水溶性相关性热力图</w:t>
      </w:r>
    </w:p>
    <w:p>
      <w:pPr>
        <w:spacing w:before="120" w:after="80"/>
      </w:pPr>
      <w:r>
        <w:rPr>
          <w:rFonts w:ascii="Times New Roman" w:hAnsi="Times New Roman" w:eastAsia="黑体"/>
          <w:b/>
          <w:color w:val="000000"/>
          <w:sz w:val="26"/>
        </w:rPr>
        <w:t>3. 建模过程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为对比不同算法的表现，选用课程所学的 4 种模型：①线性回归（基线模型）；②随机森林（300 棵决策树的 Bagging 集成）；③梯度提升树（GBDT，Boosting 集成）；④简单神经网络（MLP，含 128 与 64 两层隐藏单元，最大迭代 1000 次）。各模型均在相同的训练集上拟合，并在同一测试集上评估，确保对比公平。训练过程中，树模型直接拟合原始描述符，线性回归与 MLP 则在标准化后的特征上训练。</w:t>
      </w:r>
    </w:p>
    <w:p>
      <w:pPr>
        <w:spacing w:before="120" w:after="80"/>
      </w:pPr>
      <w:r>
        <w:rPr>
          <w:rFonts w:ascii="Times New Roman" w:hAnsi="Times New Roman" w:eastAsia="黑体"/>
          <w:b/>
          <w:color w:val="000000"/>
          <w:sz w:val="26"/>
        </w:rPr>
        <w:t>4. 性能分析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采用决定系数 R²、均方根误差 RMSE 与平均绝对误差 MAE 三项指标评估回归性能：R² 越接近 1、RMSE/MAE 越小，说明模型预测越准确。各模型在测试集上的表现如表 2-1 与图 2-3 所示。</w:t>
      </w:r>
    </w:p>
    <w:p>
      <w:pPr>
        <w:jc w:val="center"/>
      </w:pPr>
      <w:r>
        <w:rPr>
          <w:rFonts w:ascii="Times New Roman" w:hAnsi="Times New Roman" w:eastAsia="黑体"/>
          <w:b w:val="0"/>
          <w:sz w:val="21"/>
        </w:rPr>
        <w:t>表 2-1 各模型测试集性能对比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模型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R²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RMSE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MAE</w:t>
            </w:r>
          </w:p>
        </w:tc>
      </w:tr>
      <w:tr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神经网络MLP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0.8890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0.7244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0.4980</w:t>
            </w:r>
          </w:p>
        </w:tc>
      </w:tr>
      <w:tr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梯度提升树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0.8702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0.7832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0.5652</w:t>
            </w:r>
          </w:p>
        </w:tc>
      </w:tr>
      <w:tr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随机森林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0.8692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0.7862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0.5433</w:t>
            </w:r>
          </w:p>
        </w:tc>
      </w:tr>
      <w:tr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线性回归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0.7739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1.0337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0.7673</w:t>
            </w:r>
          </w:p>
        </w:tc>
      </w:tr>
    </w:tbl>
    <w:p>
      <w:pPr>
        <w:spacing w:after="0"/>
      </w:pP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669280" cy="212598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_model_compar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21259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20"/>
        <w:jc w:val="center"/>
      </w:pPr>
      <w:r>
        <w:rPr>
          <w:rFonts w:ascii="Times New Roman" w:hAnsi="Times New Roman" w:eastAsia="黑体"/>
          <w:b w:val="0"/>
          <w:sz w:val="21"/>
        </w:rPr>
        <w:t>图 2-3 各模型 R² 与 RMSE / MAE 对比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结果显示：神经网络MLP 取得最优表现，测试集 R² 达 0.889，RMSE 仅 0.724；梯度提升树与随机森林次之，R² 均约 0.87；线性回归作为基线 R² 为 0.774，明显低于非线性模型，说明描述符与水溶性之间存在较强的非线性关系，集成模型与神经网络能更好地刻画这种关系。最优模型的预测值与真实值散点（图 2-4）紧密分布在对角线附近，预测偏差较小。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3840480" cy="3491345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_pred_vs_tru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40480" cy="34913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20"/>
        <w:jc w:val="center"/>
      </w:pPr>
      <w:r>
        <w:rPr>
          <w:rFonts w:ascii="Times New Roman" w:hAnsi="Times New Roman" w:eastAsia="黑体"/>
          <w:b w:val="0"/>
          <w:sz w:val="21"/>
        </w:rPr>
        <w:t>图 2-4 最优模型预测值与真实值对比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基于随机森林的特征重要性（图 2-5）表明，脂水分配系数 MolLogP 与拓扑极性表面积 TPSA、分子量等是影响水溶性的关键描述符，这与“亲脂性越强、极性表面越小则水溶性越低”的化学机理高度吻合，说明模型学到的规律具有可解释性。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4572000" cy="326571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_importanc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26571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20"/>
        <w:jc w:val="center"/>
      </w:pPr>
      <w:r>
        <w:rPr>
          <w:rFonts w:ascii="Times New Roman" w:hAnsi="Times New Roman" w:eastAsia="黑体"/>
          <w:b w:val="0"/>
          <w:sz w:val="21"/>
        </w:rPr>
        <w:t>图 2-5 随机森林特征重要性排序</w:t>
      </w:r>
    </w:p>
    <w:p>
      <w:pPr>
        <w:spacing w:before="120" w:after="80"/>
      </w:pPr>
      <w:r>
        <w:rPr>
          <w:rFonts w:ascii="Times New Roman" w:hAnsi="Times New Roman" w:eastAsia="黑体"/>
          <w:b/>
          <w:color w:val="000000"/>
          <w:sz w:val="26"/>
        </w:rPr>
        <w:t>5. 结果分析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结合领域应用目标，本模型可由分子结构直接给出水溶性的定量预测，最优 R² 约 0.89，精度可满足早期筛选需求。在药物研发中，可用于先导化合物的快速溶解性排序，减少不必要的湿实验；在环境化学中，可对化学品的水相迁移性进行初步评估。模型所依赖的描述符均可由结构式自动计算，便于批量、自动化应用。</w:t>
      </w:r>
    </w:p>
    <w:p>
      <w:pPr>
        <w:spacing w:before="120" w:after="80"/>
      </w:pPr>
      <w:r>
        <w:rPr>
          <w:rFonts w:ascii="Times New Roman" w:hAnsi="Times New Roman" w:eastAsia="黑体"/>
          <w:b/>
          <w:color w:val="000000"/>
          <w:sz w:val="30"/>
        </w:rPr>
        <w:t>三、总结、感想及课程建议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总结：本项目以 ESOL 公开数据集为基础，完整实现了“数据获取→RDKit 特征工程→数据预处理→多模型训练→性能对比→可视化分析”的机器学习建模流程，最终神经网络模型在测试集上取得约 0.89 的 R²，验证了由分子结构预测水溶性的可行性。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感想：通过本次实践，体会到特征工程在分子性质预测中的核心作用——合理的分子描述符往往比复杂模型更能决定预测上限；同时，模型对比让我们直观认识到线性与非线性方法在真实数据上的差距，以及集成学习与神经网络的优势。</w:t>
      </w:r>
    </w:p>
    <w:p>
      <w:pPr>
        <w:spacing w:lineRule="exact" w:line="400" w:after="0"/>
        <w:ind w:firstLine="480"/>
      </w:pPr>
      <w:r>
        <w:rPr>
          <w:rFonts w:ascii="Times New Roman" w:hAnsi="Times New Roman" w:eastAsia="宋体"/>
          <w:b w:val="0"/>
          <w:sz w:val="24"/>
        </w:rPr>
        <w:t>课程建议：建议在课程中增加更多面向真实科学数据（如化学、生物信息）的实战案例，并适当补充特征工程与模型可解释性相关内容，使同学们能将机器学习方法更好地迁移到本专业领域。</w:t>
      </w:r>
    </w:p>
    <w:p>
      <w:pPr>
        <w:spacing w:before="120" w:after="80"/>
      </w:pPr>
      <w:r>
        <w:rPr>
          <w:rFonts w:ascii="Times New Roman" w:hAnsi="Times New Roman" w:eastAsia="黑体"/>
          <w:b/>
          <w:color w:val="000000"/>
          <w:sz w:val="30"/>
        </w:rPr>
        <w:t>参考文献</w:t>
      </w:r>
    </w:p>
    <w:p>
      <w:pPr>
        <w:spacing w:lineRule="exact" w:line="400" w:after="0"/>
      </w:pPr>
      <w:r>
        <w:rPr>
          <w:rFonts w:ascii="Times New Roman" w:hAnsi="Times New Roman" w:eastAsia="宋体"/>
          <w:b w:val="0"/>
          <w:sz w:val="21"/>
        </w:rPr>
        <w:t>[1] Delaney J S. ESOL: Estimating Aqueous Solubility Directly from Molecular Structure[J]. Journal of Chemical Information and Computer Sciences, 2004, 44(3): 1000-1005.</w:t>
      </w:r>
    </w:p>
    <w:p>
      <w:pPr>
        <w:spacing w:lineRule="exact" w:line="400" w:after="0"/>
      </w:pPr>
      <w:r>
        <w:rPr>
          <w:rFonts w:ascii="Times New Roman" w:hAnsi="Times New Roman" w:eastAsia="宋体"/>
          <w:b w:val="0"/>
          <w:sz w:val="21"/>
        </w:rPr>
        <w:t>[2] Wu Z, Ramsundar B, Feinberg E N, et al. MoleculeNet: A Benchmark for Molecular Machine Learning[J]. Chemical Science, 2018, 9(2): 513-530.</w:t>
      </w:r>
    </w:p>
    <w:p>
      <w:pPr>
        <w:spacing w:lineRule="exact" w:line="400" w:after="0"/>
      </w:pPr>
      <w:r>
        <w:rPr>
          <w:rFonts w:ascii="Times New Roman" w:hAnsi="Times New Roman" w:eastAsia="宋体"/>
          <w:b w:val="0"/>
          <w:sz w:val="21"/>
        </w:rPr>
        <w:t>[3] Landrum G. RDKit: Open-source Cheminformatics[EB/OL]. https://www.rdkit.org.</w:t>
      </w:r>
    </w:p>
    <w:p>
      <w:pPr>
        <w:spacing w:lineRule="exact" w:line="400" w:after="0"/>
      </w:pPr>
      <w:r>
        <w:rPr>
          <w:rFonts w:ascii="Times New Roman" w:hAnsi="Times New Roman" w:eastAsia="宋体"/>
          <w:b w:val="0"/>
          <w:sz w:val="21"/>
        </w:rPr>
        <w:t>[4] Pedregosa F, et al. Scikit-learn: Machine Learning in Python[J]. Journal of Machine Learning Research, 2011, 12: 2825-2830.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