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132090">
      <w:pPr>
        <w:ind w:firstLine="3654" w:firstLineChars="1300"/>
        <w:rPr>
          <w:rFonts w:ascii="宋体" w:hAnsi="宋体" w:eastAsia="宋体" w:cs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hint="eastAsia" w:ascii="宋体" w:hAnsi="宋体" w:eastAsia="宋体" w:cs="Times New Roman"/>
          <w:b/>
          <w:bCs/>
          <w:sz w:val="28"/>
          <w:szCs w:val="28"/>
        </w:rPr>
        <w:t>20</w:t>
      </w:r>
      <w:r>
        <w:rPr>
          <w:rFonts w:ascii="宋体" w:hAnsi="宋体" w:eastAsia="宋体" w:cs="Times New Roman"/>
          <w:b/>
          <w:bCs/>
          <w:sz w:val="28"/>
          <w:szCs w:val="28"/>
        </w:rPr>
        <w:t>2</w:t>
      </w:r>
      <w:r>
        <w:rPr>
          <w:rFonts w:hint="eastAsia" w:ascii="宋体" w:hAnsi="宋体" w:eastAsia="宋体" w:cs="Times New Roman"/>
          <w:b/>
          <w:bCs/>
          <w:sz w:val="28"/>
          <w:szCs w:val="28"/>
        </w:rPr>
        <w:t>5～20</w:t>
      </w:r>
      <w:r>
        <w:rPr>
          <w:rFonts w:ascii="宋体" w:hAnsi="宋体" w:eastAsia="宋体" w:cs="Times New Roman"/>
          <w:b/>
          <w:bCs/>
          <w:sz w:val="28"/>
          <w:szCs w:val="28"/>
        </w:rPr>
        <w:t>2</w:t>
      </w:r>
      <w:r>
        <w:rPr>
          <w:rFonts w:hint="eastAsia" w:ascii="宋体" w:hAnsi="宋体" w:eastAsia="宋体" w:cs="Times New Roman"/>
          <w:b/>
          <w:bCs/>
          <w:sz w:val="28"/>
          <w:szCs w:val="28"/>
        </w:rPr>
        <w:t>6 学年第 2 学期</w:t>
      </w:r>
    </w:p>
    <w:p w14:paraId="42D50982">
      <w:pPr>
        <w:spacing w:line="240" w:lineRule="atLeast"/>
        <w:ind w:firstLine="883" w:firstLineChars="200"/>
        <w:rPr>
          <w:sz w:val="18"/>
        </w:rPr>
      </w:pPr>
      <w:r>
        <w:rPr>
          <w:rFonts w:ascii="宋体" w:hAnsi="宋体" w:eastAsia="宋体" w:cs="Times New Roman"/>
          <w:b/>
          <w:kern w:val="44"/>
          <w:sz w:val="44"/>
          <w:szCs w:val="52"/>
        </w:rPr>
        <w:t>Python金融应用实验</w:t>
      </w:r>
      <w:r>
        <w:rPr>
          <w:rFonts w:hint="eastAsia" w:ascii="宋体" w:hAnsi="宋体" w:eastAsia="宋体" w:cs="Times New Roman"/>
          <w:b/>
          <w:kern w:val="44"/>
          <w:sz w:val="44"/>
          <w:szCs w:val="52"/>
        </w:rPr>
        <w:t>案例分析</w:t>
      </w:r>
      <w:r>
        <w:rPr>
          <w:rFonts w:ascii="宋体" w:hAnsi="宋体" w:eastAsia="宋体" w:cs="Times New Roman"/>
          <w:b/>
          <w:kern w:val="44"/>
          <w:sz w:val="44"/>
          <w:szCs w:val="52"/>
        </w:rPr>
        <w:t>报告</w:t>
      </w:r>
    </w:p>
    <w:tbl>
      <w:tblPr>
        <w:tblStyle w:val="6"/>
        <w:tblpPr w:leftFromText="180" w:rightFromText="180" w:vertAnchor="text" w:horzAnchor="margin" w:tblpXSpec="center" w:tblpY="5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24"/>
        <w:gridCol w:w="2765"/>
      </w:tblGrid>
      <w:tr w14:paraId="379AC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8289" w:type="dxa"/>
            <w:gridSpan w:val="2"/>
            <w:shd w:val="clear" w:color="auto" w:fill="auto"/>
          </w:tcPr>
          <w:p w14:paraId="01DA87DD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实验名称：基于</w:t>
            </w:r>
            <w:r>
              <w:rPr>
                <w:rFonts w:ascii="黑体" w:hAnsi="黑体" w:eastAsia="黑体"/>
                <w:b/>
                <w:bCs/>
                <w:sz w:val="30"/>
                <w:szCs w:val="30"/>
              </w:rPr>
              <w:t>三因子模型选股的投资组合优化与盈亏分析</w:t>
            </w:r>
          </w:p>
        </w:tc>
      </w:tr>
      <w:tr w14:paraId="332EF7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5524" w:type="dxa"/>
            <w:shd w:val="clear" w:color="auto" w:fill="auto"/>
          </w:tcPr>
          <w:p w14:paraId="490E8DCB">
            <w:pPr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姓名：</w:t>
            </w:r>
          </w:p>
        </w:tc>
        <w:tc>
          <w:tcPr>
            <w:tcW w:w="2765" w:type="dxa"/>
            <w:shd w:val="clear" w:color="auto" w:fill="auto"/>
          </w:tcPr>
          <w:p w14:paraId="4E627BAA">
            <w:pPr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学号：</w:t>
            </w:r>
          </w:p>
        </w:tc>
      </w:tr>
      <w:tr w14:paraId="6AEB3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5524" w:type="dxa"/>
            <w:shd w:val="clear" w:color="auto" w:fill="auto"/>
          </w:tcPr>
          <w:p w14:paraId="2BCE8CEA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  <w:r>
              <w:rPr>
                <w:rFonts w:hint="eastAsia" w:ascii="黑体" w:hAnsi="黑体" w:eastAsia="黑体"/>
                <w:b/>
                <w:bCs/>
                <w:sz w:val="30"/>
                <w:szCs w:val="30"/>
              </w:rPr>
              <w:t>专业：</w:t>
            </w:r>
          </w:p>
        </w:tc>
        <w:tc>
          <w:tcPr>
            <w:tcW w:w="2765" w:type="dxa"/>
            <w:shd w:val="clear" w:color="auto" w:fill="auto"/>
          </w:tcPr>
          <w:p w14:paraId="2E00ACA0">
            <w:pPr>
              <w:rPr>
                <w:rFonts w:ascii="黑体" w:hAnsi="黑体" w:eastAsia="黑体"/>
                <w:b/>
                <w:bCs/>
                <w:sz w:val="30"/>
                <w:szCs w:val="30"/>
              </w:rPr>
            </w:pPr>
          </w:p>
        </w:tc>
      </w:tr>
      <w:tr w14:paraId="0EB46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</w:trPr>
        <w:tc>
          <w:tcPr>
            <w:tcW w:w="5524" w:type="dxa"/>
            <w:shd w:val="clear" w:color="auto" w:fill="auto"/>
          </w:tcPr>
          <w:p w14:paraId="5BE11C85">
            <w:pPr>
              <w:jc w:val="center"/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eastAsia="黑体"/>
                <w:sz w:val="30"/>
                <w:szCs w:val="30"/>
              </w:rPr>
              <w:t>给分项目</w:t>
            </w:r>
          </w:p>
        </w:tc>
        <w:tc>
          <w:tcPr>
            <w:tcW w:w="2765" w:type="dxa"/>
            <w:shd w:val="clear" w:color="auto" w:fill="auto"/>
          </w:tcPr>
          <w:p w14:paraId="660FFEF1">
            <w:pPr>
              <w:jc w:val="center"/>
              <w:rPr>
                <w:rFonts w:ascii="黑体" w:eastAsia="黑体"/>
                <w:sz w:val="30"/>
                <w:szCs w:val="30"/>
              </w:rPr>
            </w:pPr>
            <w:r>
              <w:rPr>
                <w:rFonts w:hint="eastAsia" w:ascii="黑体" w:eastAsia="黑体"/>
                <w:sz w:val="30"/>
                <w:szCs w:val="30"/>
              </w:rPr>
              <w:t>得 分</w:t>
            </w:r>
          </w:p>
        </w:tc>
      </w:tr>
      <w:tr w14:paraId="720FE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7" w:hRule="atLeast"/>
        </w:trPr>
        <w:tc>
          <w:tcPr>
            <w:tcW w:w="5524" w:type="dxa"/>
            <w:shd w:val="clear" w:color="auto" w:fill="auto"/>
          </w:tcPr>
          <w:p w14:paraId="39105889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实验报告格式规范性（20分）</w:t>
            </w:r>
          </w:p>
        </w:tc>
        <w:tc>
          <w:tcPr>
            <w:tcW w:w="2765" w:type="dxa"/>
            <w:shd w:val="clear" w:color="auto" w:fill="auto"/>
          </w:tcPr>
          <w:p w14:paraId="43215D94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5A6E9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3" w:hRule="atLeast"/>
        </w:trPr>
        <w:tc>
          <w:tcPr>
            <w:tcW w:w="5524" w:type="dxa"/>
            <w:shd w:val="clear" w:color="auto" w:fill="auto"/>
          </w:tcPr>
          <w:p w14:paraId="66240090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实验过程是否清晰，实验方法是否正确（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30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分）</w:t>
            </w:r>
          </w:p>
        </w:tc>
        <w:tc>
          <w:tcPr>
            <w:tcW w:w="2765" w:type="dxa"/>
            <w:shd w:val="clear" w:color="auto" w:fill="auto"/>
          </w:tcPr>
          <w:p w14:paraId="0E36768C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07D42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72" w:hRule="atLeast"/>
        </w:trPr>
        <w:tc>
          <w:tcPr>
            <w:tcW w:w="5524" w:type="dxa"/>
            <w:shd w:val="clear" w:color="auto" w:fill="auto"/>
          </w:tcPr>
          <w:p w14:paraId="5ECB283F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实验结果完整，无缺漏，无多余数据，实验结果分析阐述清晰明确（4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分）</w:t>
            </w:r>
          </w:p>
        </w:tc>
        <w:tc>
          <w:tcPr>
            <w:tcW w:w="2765" w:type="dxa"/>
            <w:shd w:val="clear" w:color="auto" w:fill="auto"/>
          </w:tcPr>
          <w:p w14:paraId="32D3F113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79C0E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5524" w:type="dxa"/>
            <w:shd w:val="clear" w:color="auto" w:fill="auto"/>
          </w:tcPr>
          <w:p w14:paraId="70E3D8A1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ascii="楷体_GB2312" w:eastAsia="楷体_GB2312"/>
                <w:b/>
                <w:sz w:val="30"/>
                <w:szCs w:val="30"/>
              </w:rPr>
              <w:t>总结与思考（10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分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）</w:t>
            </w:r>
          </w:p>
        </w:tc>
        <w:tc>
          <w:tcPr>
            <w:tcW w:w="2765" w:type="dxa"/>
            <w:shd w:val="clear" w:color="auto" w:fill="auto"/>
          </w:tcPr>
          <w:p w14:paraId="6FFA8B5A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6AE738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4" w:hRule="atLeast"/>
        </w:trPr>
        <w:tc>
          <w:tcPr>
            <w:tcW w:w="5524" w:type="dxa"/>
            <w:shd w:val="clear" w:color="auto" w:fill="auto"/>
          </w:tcPr>
          <w:p w14:paraId="786D5C40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ascii="楷体_GB2312" w:eastAsia="楷体_GB2312"/>
                <w:b/>
                <w:sz w:val="30"/>
                <w:szCs w:val="30"/>
              </w:rPr>
              <w:t>扣分项（</w:t>
            </w:r>
            <w:r>
              <w:rPr>
                <w:rFonts w:hint="eastAsia" w:ascii="楷体_GB2312" w:eastAsia="楷体_GB2312"/>
                <w:b/>
                <w:sz w:val="30"/>
                <w:szCs w:val="30"/>
              </w:rPr>
              <w:t>-5分</w:t>
            </w:r>
            <w:r>
              <w:rPr>
                <w:rFonts w:ascii="楷体_GB2312" w:eastAsia="楷体_GB2312"/>
                <w:b/>
                <w:sz w:val="30"/>
                <w:szCs w:val="30"/>
              </w:rPr>
              <w:t>）</w:t>
            </w:r>
          </w:p>
          <w:p w14:paraId="167904CE">
            <w:pPr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（未按要求上交案例分析材料）</w:t>
            </w:r>
          </w:p>
        </w:tc>
        <w:tc>
          <w:tcPr>
            <w:tcW w:w="2765" w:type="dxa"/>
            <w:shd w:val="clear" w:color="auto" w:fill="auto"/>
          </w:tcPr>
          <w:p w14:paraId="3BBA088F">
            <w:pPr>
              <w:jc w:val="center"/>
              <w:rPr>
                <w:rFonts w:ascii="楷体_GB2312" w:eastAsia="楷体_GB2312"/>
                <w:sz w:val="30"/>
                <w:szCs w:val="30"/>
              </w:rPr>
            </w:pPr>
          </w:p>
        </w:tc>
      </w:tr>
      <w:tr w14:paraId="7499C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</w:trPr>
        <w:tc>
          <w:tcPr>
            <w:tcW w:w="5524" w:type="dxa"/>
            <w:shd w:val="clear" w:color="auto" w:fill="auto"/>
          </w:tcPr>
          <w:p w14:paraId="437CFA68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总分</w:t>
            </w:r>
          </w:p>
        </w:tc>
        <w:tc>
          <w:tcPr>
            <w:tcW w:w="2765" w:type="dxa"/>
            <w:shd w:val="clear" w:color="auto" w:fill="auto"/>
          </w:tcPr>
          <w:p w14:paraId="2C9F4152">
            <w:pPr>
              <w:jc w:val="center"/>
              <w:rPr>
                <w:rFonts w:ascii="楷体_GB2312" w:eastAsia="楷体_GB2312"/>
                <w:b/>
                <w:sz w:val="30"/>
                <w:szCs w:val="30"/>
              </w:rPr>
            </w:pPr>
          </w:p>
        </w:tc>
      </w:tr>
      <w:tr w14:paraId="1D697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6" w:hRule="atLeast"/>
        </w:trPr>
        <w:tc>
          <w:tcPr>
            <w:tcW w:w="8289" w:type="dxa"/>
            <w:gridSpan w:val="2"/>
            <w:shd w:val="clear" w:color="auto" w:fill="auto"/>
          </w:tcPr>
          <w:p w14:paraId="49D8CE27">
            <w:pPr>
              <w:jc w:val="left"/>
              <w:rPr>
                <w:rFonts w:ascii="楷体_GB2312" w:eastAsia="楷体_GB2312"/>
                <w:b/>
                <w:sz w:val="30"/>
                <w:szCs w:val="30"/>
              </w:rPr>
            </w:pPr>
            <w:r>
              <w:rPr>
                <w:rFonts w:hint="eastAsia" w:ascii="楷体_GB2312" w:eastAsia="楷体_GB2312"/>
                <w:b/>
                <w:sz w:val="30"/>
                <w:szCs w:val="30"/>
              </w:rPr>
              <w:t>评语：</w:t>
            </w:r>
          </w:p>
        </w:tc>
      </w:tr>
    </w:tbl>
    <w:p w14:paraId="729F5CE6">
      <w:pPr>
        <w:jc w:val="center"/>
        <w:rPr>
          <w:b/>
          <w:sz w:val="32"/>
        </w:rPr>
      </w:pPr>
      <w:r>
        <w:rPr>
          <w:b/>
          <w:sz w:val="32"/>
        </w:rPr>
        <w:t>Python金融应用实验</w:t>
      </w:r>
      <w:r>
        <w:rPr>
          <w:rFonts w:hint="eastAsia"/>
          <w:b/>
          <w:sz w:val="32"/>
        </w:rPr>
        <w:t>案例分析报告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4"/>
        <w:gridCol w:w="691"/>
        <w:gridCol w:w="1383"/>
        <w:gridCol w:w="1382"/>
        <w:gridCol w:w="692"/>
        <w:gridCol w:w="2074"/>
      </w:tblGrid>
      <w:tr w14:paraId="4F45F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6BBD777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实验名称：</w:t>
            </w:r>
            <w:r>
              <w:rPr>
                <w:rFonts w:hint="eastAsia"/>
                <w:sz w:val="24"/>
              </w:rPr>
              <w:t>基于三因子模型选股的投资组合优化与盈亏分析</w:t>
            </w:r>
          </w:p>
        </w:tc>
      </w:tr>
      <w:tr w14:paraId="381F0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4925A3FF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实验日期：</w:t>
            </w:r>
          </w:p>
        </w:tc>
        <w:tc>
          <w:tcPr>
            <w:tcW w:w="20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114707">
            <w:pPr>
              <w:jc w:val="left"/>
              <w:rPr>
                <w:b/>
                <w:sz w:val="24"/>
              </w:rPr>
            </w:pPr>
          </w:p>
        </w:tc>
        <w:tc>
          <w:tcPr>
            <w:tcW w:w="20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DEA5C4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指导教师：</w:t>
            </w: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</w:tcPr>
          <w:p w14:paraId="298A4252">
            <w:pPr>
              <w:jc w:val="left"/>
              <w:rPr>
                <w:b/>
                <w:sz w:val="24"/>
              </w:rPr>
            </w:pPr>
          </w:p>
        </w:tc>
      </w:tr>
      <w:tr w14:paraId="490BA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ACB317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专业班级：</w:t>
            </w:r>
          </w:p>
        </w:tc>
        <w:tc>
          <w:tcPr>
            <w:tcW w:w="27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5F2782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姓名：</w:t>
            </w:r>
          </w:p>
        </w:tc>
        <w:tc>
          <w:tcPr>
            <w:tcW w:w="27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7BA23B">
            <w:pPr>
              <w:jc w:val="left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学号：</w:t>
            </w:r>
          </w:p>
        </w:tc>
      </w:tr>
    </w:tbl>
    <w:p w14:paraId="5E77253C">
      <w:pPr>
        <w:jc w:val="left"/>
        <w:rPr>
          <w:b/>
          <w:sz w:val="28"/>
        </w:rPr>
      </w:pPr>
    </w:p>
    <w:p w14:paraId="1BDC4A49">
      <w:pPr>
        <w:jc w:val="left"/>
        <w:rPr>
          <w:b/>
          <w:sz w:val="28"/>
        </w:rPr>
      </w:pPr>
      <w:r>
        <w:rPr>
          <w:rFonts w:hint="eastAsia"/>
          <w:b/>
          <w:sz w:val="28"/>
        </w:rPr>
        <w:t>一、实验目的</w:t>
      </w:r>
    </w:p>
    <w:p w14:paraId="32140573">
      <w:pPr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通过Python程序语言对股票投资组合优化配置、盈亏情况进行数据分析，建立资产组合的市场模型，并将数据分析结果进行可视化。</w:t>
      </w:r>
    </w:p>
    <w:p w14:paraId="4521E352">
      <w:pPr>
        <w:jc w:val="left"/>
        <w:rPr>
          <w:b/>
          <w:sz w:val="28"/>
        </w:rPr>
      </w:pPr>
      <w:r>
        <w:rPr>
          <w:rFonts w:hint="eastAsia"/>
          <w:b/>
          <w:sz w:val="28"/>
        </w:rPr>
        <w:t>二、实验内容及要求</w:t>
      </w:r>
    </w:p>
    <w:p w14:paraId="143257A2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（一）数据采集与预处理</w:t>
      </w:r>
    </w:p>
    <w:p w14:paraId="62CE52F6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</w:t>
      </w:r>
      <w:r>
        <w:rPr>
          <w:rFonts w:ascii="宋体" w:hAnsi="宋体" w:eastAsia="宋体"/>
          <w:sz w:val="24"/>
        </w:rPr>
        <w:t>收集10支候选股票及其对应的市场指数（如沪深300）在2022年1月1日至2025年12月31日期间的日收盘价数据。同时，获取Fama-French三因子的日度数据（市场超额收益MKT、规模因子SMB、价值因子HML），时间范围相同。全部数据存放为Excel或CSV文件。</w:t>
      </w:r>
    </w:p>
    <w:p w14:paraId="20518DCC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2、</w:t>
      </w:r>
      <w:r>
        <w:rPr>
          <w:rFonts w:ascii="宋体" w:hAnsi="宋体" w:eastAsia="宋体"/>
          <w:sz w:val="24"/>
        </w:rPr>
        <w:t>将数据导入Python，生成数据框；将Date列转换为datetime格式并设为索引，按日期升序排序；对缺失数据采用前向填充处理。</w:t>
      </w:r>
    </w:p>
    <w:p w14:paraId="73B98A32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3、</w:t>
      </w:r>
      <w:r>
        <w:rPr>
          <w:rFonts w:ascii="宋体" w:hAnsi="宋体" w:eastAsia="宋体"/>
          <w:sz w:val="24"/>
        </w:rPr>
        <w:t>计算每支股票和指数的每日对数收益率</w:t>
      </w:r>
      <w:r>
        <w:rPr>
          <w:rFonts w:hint="eastAsia" w:ascii="宋体" w:hAnsi="宋体" w:eastAsia="宋体"/>
          <w:sz w:val="24"/>
        </w:rPr>
        <w:t>（</w:t>
      </w:r>
      <w:r>
        <w:rPr>
          <w:rFonts w:ascii="宋体" w:hAnsi="宋体" w:eastAsia="宋体"/>
          <w:sz w:val="24"/>
        </w:rPr>
        <w:t>Rt</w:t>
      </w:r>
      <w:r>
        <w:rPr>
          <w:rFonts w:hint="eastAsia" w:ascii="MS Gothic" w:hAnsi="MS Gothic" w:eastAsia="MS Gothic" w:cs="MS Gothic"/>
          <w:sz w:val="24"/>
        </w:rPr>
        <w:t>​</w:t>
      </w:r>
      <w:r>
        <w:rPr>
          <w:rFonts w:ascii="宋体" w:hAnsi="宋体" w:eastAsia="宋体"/>
          <w:sz w:val="24"/>
        </w:rPr>
        <w:t>=ln(Pt</w:t>
      </w:r>
      <w:r>
        <w:rPr>
          <w:rFonts w:hint="eastAsia" w:ascii="MS Gothic" w:hAnsi="MS Gothic" w:eastAsia="MS Gothic" w:cs="MS Gothic"/>
          <w:sz w:val="24"/>
        </w:rPr>
        <w:t>​</w:t>
      </w:r>
      <w:r>
        <w:rPr>
          <w:rFonts w:ascii="宋体" w:hAnsi="宋体" w:eastAsia="宋体"/>
          <w:sz w:val="24"/>
        </w:rPr>
        <w:t>)</w:t>
      </w:r>
      <w:r>
        <w:rPr>
          <w:rFonts w:hint="eastAsia" w:ascii="微软雅黑" w:hAnsi="微软雅黑" w:eastAsia="微软雅黑" w:cs="微软雅黑"/>
          <w:sz w:val="24"/>
        </w:rPr>
        <w:t>−</w:t>
      </w:r>
      <w:r>
        <w:rPr>
          <w:rFonts w:ascii="宋体" w:hAnsi="宋体" w:eastAsia="宋体"/>
          <w:sz w:val="24"/>
        </w:rPr>
        <w:t>ln(Pt</w:t>
      </w:r>
      <w:r>
        <w:rPr>
          <w:rFonts w:hint="eastAsia" w:ascii="微软雅黑" w:hAnsi="微软雅黑" w:eastAsia="微软雅黑" w:cs="微软雅黑"/>
          <w:sz w:val="24"/>
        </w:rPr>
        <w:t>−</w:t>
      </w:r>
      <w:r>
        <w:rPr>
          <w:rFonts w:ascii="宋体" w:hAnsi="宋体" w:eastAsia="宋体"/>
          <w:sz w:val="24"/>
        </w:rPr>
        <w:t>1</w:t>
      </w:r>
      <w:r>
        <w:rPr>
          <w:rFonts w:hint="eastAsia" w:ascii="MS Gothic" w:hAnsi="MS Gothic" w:eastAsia="MS Gothic" w:cs="MS Gothic"/>
          <w:sz w:val="24"/>
        </w:rPr>
        <w:t>​</w:t>
      </w:r>
      <w:r>
        <w:rPr>
          <w:rFonts w:ascii="宋体" w:hAnsi="宋体" w:eastAsia="宋体"/>
          <w:sz w:val="24"/>
        </w:rPr>
        <w:t>)</w:t>
      </w:r>
      <w:r>
        <w:rPr>
          <w:rFonts w:hint="eastAsia" w:ascii="宋体" w:hAnsi="宋体" w:eastAsia="宋体"/>
          <w:sz w:val="24"/>
        </w:rPr>
        <w:t>）</w:t>
      </w:r>
      <w:r>
        <w:rPr>
          <w:rFonts w:ascii="宋体" w:hAnsi="宋体" w:eastAsia="宋体"/>
          <w:sz w:val="24"/>
        </w:rPr>
        <w:t>，生成股票/指数收益率数据框；计算2022年1月1日至202</w:t>
      </w:r>
      <w:r>
        <w:rPr>
          <w:rFonts w:hint="eastAsia" w:ascii="宋体" w:hAnsi="宋体" w:eastAsia="宋体"/>
          <w:sz w:val="24"/>
        </w:rPr>
        <w:t>5</w:t>
      </w:r>
      <w:r>
        <w:rPr>
          <w:rFonts w:ascii="宋体" w:hAnsi="宋体" w:eastAsia="宋体"/>
          <w:sz w:val="24"/>
        </w:rPr>
        <w:t>年12月31日期间10支股票的累计涨跌幅序列，并对结果进行初步解释。</w:t>
      </w:r>
    </w:p>
    <w:p w14:paraId="3E92692F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(二)</w:t>
      </w:r>
      <w:r>
        <w:rPr>
          <w:rFonts w:ascii="宋体" w:hAnsi="宋体" w:eastAsia="宋体"/>
          <w:b/>
          <w:bCs/>
          <w:sz w:val="24"/>
        </w:rPr>
        <w:t>描述性统计与相关性分析</w:t>
      </w:r>
    </w:p>
    <w:p w14:paraId="47247A63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</w:t>
      </w:r>
      <w:r>
        <w:rPr>
          <w:rFonts w:ascii="宋体" w:hAnsi="宋体" w:eastAsia="宋体"/>
          <w:sz w:val="24"/>
        </w:rPr>
        <w:t>基于</w:t>
      </w:r>
      <w:r>
        <w:rPr>
          <w:rFonts w:hint="eastAsia" w:ascii="宋体" w:hAnsi="宋体" w:eastAsia="宋体"/>
          <w:sz w:val="24"/>
        </w:rPr>
        <w:t>2</w:t>
      </w:r>
      <w:r>
        <w:rPr>
          <w:rFonts w:ascii="宋体" w:hAnsi="宋体" w:eastAsia="宋体"/>
          <w:sz w:val="24"/>
        </w:rPr>
        <w:t>02</w:t>
      </w:r>
      <w:r>
        <w:rPr>
          <w:rFonts w:hint="eastAsia" w:ascii="宋体" w:hAnsi="宋体" w:eastAsia="宋体"/>
          <w:sz w:val="24"/>
        </w:rPr>
        <w:t>2年1月1日至2</w:t>
      </w:r>
      <w:r>
        <w:rPr>
          <w:rFonts w:ascii="宋体" w:hAnsi="宋体" w:eastAsia="宋体"/>
          <w:sz w:val="24"/>
        </w:rPr>
        <w:t>02</w:t>
      </w:r>
      <w:r>
        <w:rPr>
          <w:rFonts w:hint="eastAsia" w:ascii="宋体" w:hAnsi="宋体" w:eastAsia="宋体"/>
          <w:sz w:val="24"/>
        </w:rPr>
        <w:t>5年12月</w:t>
      </w:r>
      <w:r>
        <w:rPr>
          <w:rFonts w:ascii="宋体" w:hAnsi="宋体" w:eastAsia="宋体"/>
          <w:sz w:val="24"/>
        </w:rPr>
        <w:t>3</w:t>
      </w:r>
      <w:r>
        <w:rPr>
          <w:rFonts w:hint="eastAsia" w:ascii="宋体" w:hAnsi="宋体" w:eastAsia="宋体"/>
          <w:sz w:val="24"/>
        </w:rPr>
        <w:t>1日</w:t>
      </w:r>
      <w:r>
        <w:rPr>
          <w:rFonts w:ascii="宋体" w:hAnsi="宋体" w:eastAsia="宋体"/>
          <w:sz w:val="24"/>
        </w:rPr>
        <w:t>的股票日收益率数据，计算10支股票收益率的描述性统计量（均值、标准差、偏度、峰度等），讨论各股票的波动性和收益分布特征。</w:t>
      </w:r>
    </w:p>
    <w:p w14:paraId="5D77F4C4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2、</w:t>
      </w:r>
      <w:r>
        <w:rPr>
          <w:rFonts w:ascii="宋体" w:hAnsi="宋体" w:eastAsia="宋体"/>
          <w:sz w:val="24"/>
        </w:rPr>
        <w:t>计算10支股票的协方差矩阵和相关系数矩阵，分析股票之间的相关性与分散化效应。</w:t>
      </w:r>
    </w:p>
    <w:p w14:paraId="5DF5E402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3、</w:t>
      </w:r>
      <w:r>
        <w:rPr>
          <w:rFonts w:ascii="宋体" w:hAnsi="宋体" w:eastAsia="宋体"/>
          <w:sz w:val="24"/>
        </w:rPr>
        <w:t>绘制10支股票收盘价折线图、收益率箱线图、相关性热图。</w:t>
      </w:r>
    </w:p>
    <w:p w14:paraId="59E979B2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ascii="宋体" w:hAnsi="宋体" w:eastAsia="宋体"/>
          <w:b/>
          <w:bCs/>
          <w:sz w:val="24"/>
        </w:rPr>
        <w:t>（三）基于三因子模型的选股</w:t>
      </w:r>
    </w:p>
    <w:p w14:paraId="6CEE7D4D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利用</w:t>
      </w:r>
      <w:r>
        <w:rPr>
          <w:rFonts w:hint="eastAsia" w:ascii="宋体" w:hAnsi="宋体" w:eastAsia="宋体"/>
          <w:sz w:val="24"/>
        </w:rPr>
        <w:t>多</w:t>
      </w:r>
      <w:r>
        <w:rPr>
          <w:rFonts w:ascii="宋体" w:hAnsi="宋体" w:eastAsia="宋体"/>
          <w:sz w:val="24"/>
        </w:rPr>
        <w:t>因子回归筛选出表现优异的5支股票，作为后续投资组合的备选资产。</w:t>
      </w:r>
    </w:p>
    <w:p w14:paraId="767C0A52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</w:t>
      </w:r>
      <w:r>
        <w:rPr>
          <w:rFonts w:ascii="宋体" w:hAnsi="宋体" w:eastAsia="宋体"/>
          <w:sz w:val="24"/>
        </w:rPr>
        <w:t>单因子基准回归（CAPM）：</w:t>
      </w:r>
    </w:p>
    <w:p w14:paraId="0323D794">
      <w:pPr>
        <w:spacing w:before="240" w:line="276" w:lineRule="auto"/>
        <w:ind w:left="1620" w:leftChars="200" w:hanging="1200" w:hangingChars="500"/>
        <w:jc w:val="left"/>
        <w:rPr>
          <w:rFonts w:ascii="Times New Roman" w:hAnsi="Times New Roman" w:eastAsia="宋体" w:cs="Times New Roman"/>
          <w:color w:val="0F1115"/>
          <w:kern w:val="0"/>
          <w:sz w:val="29"/>
          <w:szCs w:val="29"/>
        </w:rPr>
      </w:pPr>
      <w:r>
        <w:rPr>
          <w:rFonts w:hint="eastAsia" w:ascii="宋体" w:hAnsi="宋体" w:eastAsia="宋体"/>
          <w:sz w:val="24"/>
        </w:rPr>
        <w:t>（1）</w:t>
      </w:r>
      <w:r>
        <w:rPr>
          <w:rFonts w:ascii="宋体" w:hAnsi="宋体" w:eastAsia="宋体"/>
          <w:sz w:val="24"/>
        </w:rPr>
        <w:t>以2022</w:t>
      </w:r>
      <w:r>
        <w:rPr>
          <w:rFonts w:ascii="宋体" w:hAnsi="宋体" w:eastAsia="宋体"/>
          <w:sz w:val="24"/>
        </w:rPr>
        <w:noBreakHyphen/>
      </w:r>
      <w:r>
        <w:rPr>
          <w:rFonts w:ascii="宋体" w:hAnsi="宋体" w:eastAsia="宋体"/>
          <w:sz w:val="24"/>
        </w:rPr>
        <w:t>202</w:t>
      </w:r>
      <w:r>
        <w:rPr>
          <w:rFonts w:hint="eastAsia" w:ascii="宋体" w:hAnsi="宋体" w:eastAsia="宋体"/>
          <w:sz w:val="24"/>
        </w:rPr>
        <w:t>4</w:t>
      </w:r>
      <w:r>
        <w:rPr>
          <w:rFonts w:ascii="宋体" w:hAnsi="宋体" w:eastAsia="宋体"/>
          <w:sz w:val="24"/>
        </w:rPr>
        <w:t>年数据为训练期，对每只候选股票进行CAPM回归：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=α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+βi(R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m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)+ε</w:t>
      </w:r>
    </w:p>
    <w:p w14:paraId="6DD2B1BA">
      <w:pPr>
        <w:spacing w:before="240" w:line="276" w:lineRule="auto"/>
        <w:ind w:left="1620" w:leftChars="200" w:hanging="1200" w:hangingChars="5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</w:t>
      </w:r>
      <w:r>
        <w:rPr>
          <w:rFonts w:ascii="宋体" w:hAnsi="宋体" w:eastAsia="宋体"/>
          <w:sz w:val="24"/>
        </w:rPr>
        <w:t>输出每只股票α</w:t>
      </w:r>
      <w:r>
        <w:rPr>
          <w:rFonts w:hint="eastAsia" w:ascii="宋体" w:hAnsi="宋体" w:eastAsia="宋体"/>
          <w:sz w:val="24"/>
        </w:rPr>
        <w:t>、</w:t>
      </w:r>
      <w:r>
        <w:rPr>
          <w:rFonts w:ascii="宋体" w:hAnsi="宋体" w:eastAsia="宋体"/>
          <w:sz w:val="24"/>
        </w:rPr>
        <w:t>β及其显著性，绘制散点图与回归线。</w:t>
      </w:r>
    </w:p>
    <w:p w14:paraId="46F90ECD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2、</w:t>
      </w:r>
      <w:r>
        <w:rPr>
          <w:rFonts w:ascii="宋体" w:hAnsi="宋体" w:eastAsia="宋体"/>
          <w:sz w:val="24"/>
        </w:rPr>
        <w:t>三因子回归（Fama-French）：</w:t>
      </w:r>
    </w:p>
    <w:p w14:paraId="739E1DA7">
      <w:pPr>
        <w:widowControl/>
        <w:shd w:val="clear" w:color="auto" w:fill="FFFFFF"/>
        <w:spacing w:before="100" w:beforeAutospacing="1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</w:t>
      </w:r>
      <w:r>
        <w:rPr>
          <w:rFonts w:ascii="宋体" w:hAnsi="宋体" w:eastAsia="宋体"/>
          <w:sz w:val="24"/>
        </w:rPr>
        <w:t>获取Fama-French三因子日度数据（MKT, SMB, HML）。</w:t>
      </w:r>
    </w:p>
    <w:p w14:paraId="243EB651">
      <w:pPr>
        <w:widowControl/>
        <w:shd w:val="clear" w:color="auto" w:fill="FFFFFF"/>
        <w:spacing w:before="100" w:beforeAutospacing="1"/>
        <w:ind w:left="900" w:leftChars="200" w:hanging="480" w:hanging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</w:t>
      </w:r>
      <w:r>
        <w:rPr>
          <w:rFonts w:ascii="宋体" w:hAnsi="宋体" w:eastAsia="宋体"/>
          <w:sz w:val="24"/>
        </w:rPr>
        <w:t>对每只股票进行三因子回归：</w:t>
      </w:r>
    </w:p>
    <w:p w14:paraId="7D3E4DF0">
      <w:pPr>
        <w:widowControl/>
        <w:shd w:val="clear" w:color="auto" w:fill="FFFFFF"/>
        <w:ind w:left="840" w:leftChars="400"/>
        <w:jc w:val="left"/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−R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f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=α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i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+β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MKT</w:t>
      </w:r>
      <w:r>
        <w:rPr>
          <w:rFonts w:hint="eastAsia" w:ascii="MS Gothic" w:hAnsi="MS Gothic" w:eastAsia="MS Gothic" w:cs="MS Gothic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MKT+β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SMB</w:t>
      </w:r>
      <w:r>
        <w:rPr>
          <w:rFonts w:hint="eastAsia" w:ascii="MS Gothic" w:hAnsi="MS Gothic" w:eastAsia="MS Gothic" w:cs="MS Gothic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SMB+β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  <w:vertAlign w:val="subscript"/>
        </w:rPr>
        <w:t>HML</w:t>
      </w:r>
      <w:r>
        <w:rPr>
          <w:rFonts w:hint="eastAsia" w:ascii="MS Gothic" w:hAnsi="MS Gothic" w:eastAsia="MS Gothic" w:cs="MS Gothic"/>
          <w:color w:val="0F1115"/>
          <w:kern w:val="0"/>
          <w:sz w:val="24"/>
          <w:szCs w:val="24"/>
        </w:rPr>
        <w:t>⋅</w:t>
      </w:r>
      <w:r>
        <w:rPr>
          <w:rFonts w:ascii="Times New Roman" w:hAnsi="Times New Roman" w:eastAsia="宋体" w:cs="Times New Roman"/>
          <w:color w:val="0F1115"/>
          <w:kern w:val="0"/>
          <w:sz w:val="24"/>
          <w:szCs w:val="24"/>
        </w:rPr>
        <w:t>HML+ε</w:t>
      </w:r>
    </w:p>
    <w:p w14:paraId="5A40E440">
      <w:pPr>
        <w:widowControl/>
        <w:shd w:val="clear" w:color="auto" w:fill="FFFFFF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宋体" w:hAnsi="宋体" w:eastAsia="宋体"/>
          <w:sz w:val="24"/>
        </w:rPr>
        <w:t>（3）</w:t>
      </w:r>
      <w:r>
        <w:rPr>
          <w:rFonts w:ascii="宋体" w:hAnsi="宋体" w:eastAsia="宋体"/>
          <w:sz w:val="24"/>
        </w:rPr>
        <w:t>输出回归摘要，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记录每只股票的调整R²、α值及其p值。</w:t>
      </w:r>
    </w:p>
    <w:p w14:paraId="137B63CB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3、</w:t>
      </w:r>
      <w:r>
        <w:rPr>
          <w:rFonts w:ascii="宋体" w:hAnsi="宋体" w:eastAsia="宋体"/>
          <w:sz w:val="24"/>
        </w:rPr>
        <w:t>选股规则：选取三因子回归中α最大且统计显著（p&lt;0.10）的5只股票。</w:t>
      </w:r>
    </w:p>
    <w:p w14:paraId="2A5AFCF9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最终选</w:t>
      </w:r>
      <w:r>
        <w:rPr>
          <w:rFonts w:ascii="宋体" w:hAnsi="宋体" w:eastAsia="宋体"/>
          <w:sz w:val="24"/>
        </w:rPr>
        <w:t>出5只股票用于后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续的投资组合配置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。</w:t>
      </w:r>
    </w:p>
    <w:p w14:paraId="11593566">
      <w:pPr>
        <w:widowControl/>
        <w:shd w:val="clear" w:color="auto" w:fill="FFFFFF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宋体" w:hAnsi="宋体" w:eastAsia="宋体"/>
          <w:sz w:val="24"/>
        </w:rPr>
        <w:t>（2）</w:t>
      </w:r>
      <w:r>
        <w:rPr>
          <w:rFonts w:ascii="宋体" w:hAnsi="宋体" w:eastAsia="宋体"/>
          <w:sz w:val="24"/>
        </w:rPr>
        <w:t>输出10只股票的三因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子回归结果表格（含α、β_MKT、β_SMB、β_HML、R²）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，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说明选股依据，列出</w:t>
      </w:r>
      <w:r>
        <w:rPr>
          <w:rFonts w:ascii="宋体" w:hAnsi="宋体" w:eastAsia="宋体"/>
          <w:sz w:val="24"/>
        </w:rPr>
        <w:t>选出的5只股票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代码及选股理由。</w:t>
      </w:r>
    </w:p>
    <w:p w14:paraId="1F88002B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（四）基于整数线性规划的股票投资组合配置</w:t>
      </w:r>
    </w:p>
    <w:p w14:paraId="29A95C77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1、投资人</w:t>
      </w:r>
      <w:r>
        <w:rPr>
          <w:rFonts w:ascii="宋体" w:hAnsi="宋体" w:eastAsia="宋体"/>
          <w:sz w:val="24"/>
        </w:rPr>
        <w:t>A</w:t>
      </w:r>
      <w:r>
        <w:rPr>
          <w:rFonts w:hint="eastAsia" w:ascii="宋体" w:hAnsi="宋体" w:eastAsia="宋体"/>
          <w:sz w:val="24"/>
        </w:rPr>
        <w:t>使用任务（三）选出的</w:t>
      </w:r>
      <w:r>
        <w:rPr>
          <w:rFonts w:ascii="宋体" w:hAnsi="宋体" w:eastAsia="宋体"/>
          <w:sz w:val="24"/>
        </w:rPr>
        <w:t>5只股票，基于2022</w:t>
      </w:r>
      <w:r>
        <w:rPr>
          <w:rFonts w:hint="eastAsia" w:ascii="MS Gothic" w:hAnsi="MS Gothic" w:eastAsia="MS Gothic" w:cs="MS Gothic"/>
          <w:sz w:val="24"/>
        </w:rPr>
        <w:t>‑</w:t>
      </w:r>
      <w:r>
        <w:rPr>
          <w:rFonts w:ascii="宋体" w:hAnsi="宋体" w:eastAsia="宋体"/>
          <w:sz w:val="24"/>
        </w:rPr>
        <w:t>202</w:t>
      </w:r>
      <w:r>
        <w:rPr>
          <w:rFonts w:hint="eastAsia" w:ascii="宋体" w:hAnsi="宋体" w:eastAsia="宋体"/>
          <w:sz w:val="24"/>
        </w:rPr>
        <w:t>4</w:t>
      </w:r>
      <w:r>
        <w:rPr>
          <w:rFonts w:ascii="宋体" w:hAnsi="宋体" w:eastAsia="宋体"/>
          <w:sz w:val="24"/>
        </w:rPr>
        <w:t>年</w:t>
      </w:r>
      <w:r>
        <w:rPr>
          <w:rFonts w:hint="eastAsia" w:ascii="宋体" w:hAnsi="宋体" w:eastAsia="宋体"/>
          <w:sz w:val="24"/>
        </w:rPr>
        <w:t>的日度</w:t>
      </w:r>
      <w:r>
        <w:rPr>
          <w:rFonts w:ascii="宋体" w:hAnsi="宋体" w:eastAsia="宋体"/>
          <w:sz w:val="24"/>
        </w:rPr>
        <w:t>数据求解整数规划配置。</w:t>
      </w:r>
    </w:p>
    <w:p w14:paraId="1C9F03D2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投资人</w:t>
      </w:r>
      <w:r>
        <w:rPr>
          <w:rFonts w:ascii="宋体" w:hAnsi="宋体" w:eastAsia="宋体"/>
          <w:sz w:val="24"/>
        </w:rPr>
        <w:t>A拟投资总金额200万元，要求每支股票购买股数不少于20手（1手=100股）。根据</w:t>
      </w:r>
      <w:r>
        <w:rPr>
          <w:rFonts w:hint="eastAsia" w:ascii="宋体" w:hAnsi="宋体" w:eastAsia="宋体"/>
          <w:sz w:val="24"/>
        </w:rPr>
        <w:t>2</w:t>
      </w:r>
      <w:r>
        <w:rPr>
          <w:rFonts w:ascii="宋体" w:hAnsi="宋体" w:eastAsia="宋体"/>
          <w:sz w:val="24"/>
        </w:rPr>
        <w:t>02</w:t>
      </w:r>
      <w:r>
        <w:rPr>
          <w:rFonts w:hint="eastAsia" w:ascii="宋体" w:hAnsi="宋体" w:eastAsia="宋体"/>
          <w:sz w:val="24"/>
        </w:rPr>
        <w:t>2年1月1日至2</w:t>
      </w:r>
      <w:r>
        <w:rPr>
          <w:rFonts w:ascii="宋体" w:hAnsi="宋体" w:eastAsia="宋体"/>
          <w:sz w:val="24"/>
        </w:rPr>
        <w:t>02</w:t>
      </w:r>
      <w:r>
        <w:rPr>
          <w:rFonts w:hint="eastAsia" w:ascii="宋体" w:hAnsi="宋体" w:eastAsia="宋体"/>
          <w:sz w:val="24"/>
        </w:rPr>
        <w:t>4年12月</w:t>
      </w:r>
      <w:r>
        <w:rPr>
          <w:rFonts w:ascii="宋体" w:hAnsi="宋体" w:eastAsia="宋体"/>
          <w:sz w:val="24"/>
        </w:rPr>
        <w:t>3</w:t>
      </w:r>
      <w:r>
        <w:rPr>
          <w:rFonts w:hint="eastAsia" w:ascii="宋体" w:hAnsi="宋体" w:eastAsia="宋体"/>
          <w:sz w:val="24"/>
        </w:rPr>
        <w:t>1日期间的股票收益</w:t>
      </w:r>
      <w:r>
        <w:rPr>
          <w:rFonts w:ascii="宋体" w:hAnsi="宋体" w:eastAsia="宋体"/>
          <w:sz w:val="24"/>
        </w:rPr>
        <w:t>（采用年化对数收益率为预期收益率），采用整数线性规划方法配置5支股票的投资股数，以期望在2024年获得最大投资收益。为控制风险，要求投资组合的市场β≤1。</w:t>
      </w:r>
      <w:r>
        <w:rPr>
          <w:rFonts w:hint="eastAsia" w:ascii="宋体" w:hAnsi="宋体" w:eastAsia="宋体"/>
          <w:sz w:val="24"/>
        </w:rPr>
        <w:t>计算投资人A对这5支股票的最优购买股数（整数）、各股票投入资金和总的投资金额。</w:t>
      </w:r>
    </w:p>
    <w:p w14:paraId="0124677C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其中：</w:t>
      </w:r>
    </w:p>
    <w:p w14:paraId="0E86D9B6">
      <w:pPr>
        <w:pStyle w:val="23"/>
        <w:numPr>
          <w:ilvl w:val="0"/>
          <w:numId w:val="1"/>
        </w:numPr>
        <w:spacing w:before="240" w:line="276" w:lineRule="auto"/>
        <w:ind w:firstLineChars="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年化对数收益率R</w:t>
      </w:r>
      <m:oMath>
        <m:r>
          <m:rPr/>
          <w:rPr>
            <w:rFonts w:hint="eastAsia" w:ascii="Cambria Math" w:hAnsi="Cambria Math" w:eastAsia="宋体"/>
            <w:sz w:val="24"/>
          </w:rPr>
          <m:t>=</m:t>
        </m:r>
        <m:f>
          <m:fPr>
            <m:ctrlPr>
              <w:rPr>
                <w:rFonts w:ascii="Cambria Math" w:hAnsi="Cambria Math" w:eastAsia="宋体"/>
                <w:i/>
                <w:sz w:val="24"/>
              </w:rPr>
            </m:ctrlPr>
          </m:fPr>
          <m:num>
            <m:r>
              <m:rPr/>
              <w:rPr>
                <w:rFonts w:hint="eastAsia" w:ascii="Cambria Math" w:hAnsi="Cambria Math" w:eastAsia="宋体"/>
                <w:sz w:val="24"/>
              </w:rPr>
              <m:t>252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</w:rPr>
              <m:t>t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den>
        </m:f>
        <m:r>
          <m:rPr/>
          <w:rPr>
            <w:rFonts w:ascii="Cambria Math" w:hAnsi="Cambria Math" w:eastAsia="宋体"/>
            <w:sz w:val="24"/>
          </w:rPr>
          <m:t>×(</m:t>
        </m:r>
        <m:nary>
          <m:naryPr>
            <m:chr m:val="∑"/>
            <m:limLoc m:val="subSup"/>
            <m:ctrlPr>
              <w:rPr>
                <w:rFonts w:ascii="Cambria Math" w:hAnsi="Cambria Math" w:eastAsia="宋体"/>
                <w:i/>
                <w:sz w:val="24"/>
              </w:rPr>
            </m:ctrlPr>
          </m:naryPr>
          <m:sub>
            <m:r>
              <m:rPr/>
              <w:rPr>
                <w:rFonts w:hint="eastAsia" w:ascii="Cambria Math" w:hAnsi="Cambria Math" w:eastAsia="宋体"/>
                <w:sz w:val="24"/>
              </w:rPr>
              <m:t>i=1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sub>
          <m:sup>
            <m:r>
              <m:rPr/>
              <w:rPr>
                <w:rFonts w:ascii="Cambria Math" w:hAnsi="Cambria Math" w:eastAsia="宋体"/>
                <w:sz w:val="24"/>
              </w:rPr>
              <m:t>t</m:t>
            </m:r>
            <m:ctrlPr>
              <w:rPr>
                <w:rFonts w:ascii="Cambria Math" w:hAnsi="Cambria Math" w:eastAsia="宋体"/>
                <w:i/>
                <w:sz w:val="24"/>
              </w:rPr>
            </m:ctrlPr>
          </m:sup>
          <m:e>
            <m:func>
              <m:funcPr>
                <m:ctrlPr>
                  <w:rPr>
                    <w:rFonts w:ascii="Cambria Math" w:hAnsi="Cambria Math" w:eastAsia="宋体"/>
                    <w:sz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eastAsia="宋体"/>
                    <w:sz w:val="24"/>
                  </w:rPr>
                  <m:t>ln</m:t>
                </m:r>
                <m:ctrlPr>
                  <w:rPr>
                    <w:rFonts w:ascii="Cambria Math" w:hAnsi="Cambria Math" w:eastAsia="宋体"/>
                    <w:sz w:val="24"/>
                  </w:rPr>
                </m:ctrlPr>
              </m:fName>
              <m:e>
                <m:d>
                  <m:dPr>
                    <m:ctrlPr>
                      <w:rPr>
                        <w:rFonts w:ascii="Cambria Math" w:hAnsi="Cambria Math" w:eastAsia="宋体"/>
                        <w:sz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p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i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p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宋体"/>
                                <w:sz w:val="24"/>
                              </w:rPr>
                              <m:t>i−1</m:t>
                            </m:r>
                            <m:ctrlPr>
                              <w:rPr>
                                <w:rFonts w:ascii="Cambria Math" w:hAnsi="Cambria Math" w:eastAsia="宋体"/>
                                <w:i/>
                                <w:sz w:val="24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宋体"/>
                            <w:sz w:val="24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宋体"/>
                        <w:i/>
                        <w:sz w:val="24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 w:val="24"/>
                  </w:rPr>
                </m:ctrlPr>
              </m:e>
            </m:func>
            <m:ctrlPr>
              <w:rPr>
                <w:rFonts w:ascii="Cambria Math" w:hAnsi="Cambria Math" w:eastAsia="宋体"/>
                <w:i/>
                <w:sz w:val="24"/>
              </w:rPr>
            </m:ctrlPr>
          </m:e>
        </m:nary>
        <m:r>
          <m:rPr/>
          <w:rPr>
            <w:rFonts w:ascii="Cambria Math" w:hAnsi="Cambria Math" w:eastAsia="宋体"/>
            <w:sz w:val="24"/>
          </w:rPr>
          <m:t>)</m:t>
        </m:r>
      </m:oMath>
      <w:r>
        <w:rPr>
          <w:rFonts w:hint="eastAsia" w:ascii="宋体" w:hAnsi="宋体" w:eastAsia="宋体"/>
          <w:sz w:val="24"/>
        </w:rPr>
        <w:t>，其中</w:t>
      </w:r>
      <w:r>
        <w:rPr>
          <w:rFonts w:ascii="宋体" w:hAnsi="宋体" w:eastAsia="宋体"/>
          <w:sz w:val="24"/>
        </w:rPr>
        <w:t>t</w:t>
      </w:r>
      <w:r>
        <w:rPr>
          <w:rFonts w:hint="eastAsia" w:ascii="宋体" w:hAnsi="宋体" w:eastAsia="宋体"/>
          <w:sz w:val="24"/>
        </w:rPr>
        <w:t>为实际交易日期。</w:t>
      </w:r>
    </w:p>
    <w:p w14:paraId="53127494">
      <w:pPr>
        <w:pStyle w:val="23"/>
        <w:numPr>
          <w:ilvl w:val="0"/>
          <w:numId w:val="1"/>
        </w:numPr>
        <w:spacing w:before="240" w:line="276" w:lineRule="auto"/>
        <w:ind w:firstLineChars="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个股β通过任务（三）</w:t>
      </w:r>
      <w:r>
        <w:rPr>
          <w:rFonts w:ascii="宋体" w:hAnsi="宋体" w:eastAsia="宋体"/>
          <w:sz w:val="24"/>
        </w:rPr>
        <w:t>CAPM模型计算</w:t>
      </w:r>
      <w:r>
        <w:rPr>
          <w:rFonts w:hint="eastAsia" w:ascii="宋体" w:hAnsi="宋体" w:eastAsia="宋体"/>
          <w:sz w:val="24"/>
        </w:rPr>
        <w:t>得到，</w:t>
      </w:r>
    </w:p>
    <w:p w14:paraId="72E4E6C1">
      <w:pPr>
        <w:pStyle w:val="23"/>
        <w:spacing w:before="240" w:line="276" w:lineRule="auto"/>
        <w:ind w:left="900" w:firstLine="0" w:firstLineChars="0"/>
        <w:jc w:val="left"/>
        <w:rPr>
          <w:rStyle w:val="15"/>
          <w:rFonts w:ascii="宋体" w:hAnsi="宋体" w:eastAsia="宋体"/>
          <w:sz w:val="24"/>
        </w:rPr>
      </w:pPr>
      <w:r>
        <w:rPr>
          <w:rStyle w:val="13"/>
          <w:rFonts w:ascii="KaTeX_Math" w:hAnsi="KaTeX_Math"/>
          <w:i/>
          <w:iCs/>
          <w:sz w:val="22"/>
        </w:rPr>
        <w:t>β</w:t>
      </w:r>
      <w:r>
        <w:rPr>
          <w:rStyle w:val="13"/>
          <w:sz w:val="22"/>
        </w:rPr>
        <w:t>组合</w:t>
      </w:r>
      <w:r>
        <w:rPr>
          <w:rStyle w:val="14"/>
          <w:rFonts w:hint="eastAsia" w:ascii="MS Gothic" w:hAnsi="MS Gothic" w:eastAsia="MS Gothic" w:cs="MS Gothic"/>
          <w:sz w:val="22"/>
        </w:rPr>
        <w:t>​</w:t>
      </w:r>
      <w:r>
        <w:rPr>
          <w:rStyle w:val="15"/>
          <w:sz w:val="22"/>
        </w:rPr>
        <w:t>=</w:t>
      </w:r>
      <m:oMath>
        <m:nary>
          <m:naryPr>
            <m:chr m:val="∑"/>
            <m:limLoc m:val="subSup"/>
            <m:ctrlPr>
              <w:rPr>
                <w:rStyle w:val="15"/>
                <w:rFonts w:ascii="Cambria Math" w:hAnsi="Cambria Math"/>
                <w:i/>
                <w:sz w:val="22"/>
              </w:rPr>
            </m:ctrlPr>
          </m:naryPr>
          <m:sub>
            <m:r>
              <m:rPr/>
              <w:rPr>
                <w:rStyle w:val="15"/>
                <w:rFonts w:ascii="Cambria Math" w:hAnsi="Cambria Math"/>
                <w:sz w:val="22"/>
              </w:rPr>
              <m:t>i=1</m:t>
            </m:r>
            <m:ctrlPr>
              <w:rPr>
                <w:rStyle w:val="15"/>
                <w:rFonts w:ascii="Cambria Math" w:hAnsi="Cambria Math"/>
                <w:i/>
                <w:sz w:val="22"/>
              </w:rPr>
            </m:ctrlPr>
          </m:sub>
          <m:sup>
            <m:r>
              <m:rPr/>
              <w:rPr>
                <w:rStyle w:val="15"/>
                <w:rFonts w:ascii="Cambria Math" w:hAnsi="Cambria Math"/>
                <w:sz w:val="22"/>
              </w:rPr>
              <m:t>n</m:t>
            </m:r>
            <m:ctrlPr>
              <w:rPr>
                <w:rStyle w:val="15"/>
                <w:rFonts w:ascii="Cambria Math" w:hAnsi="Cambria Math"/>
                <w:i/>
                <w:sz w:val="22"/>
              </w:rPr>
            </m:ctrlPr>
          </m:sup>
          <m:e>
            <m:sSub>
              <m:sSubP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SubPr>
              <m:e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w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e>
              <m:sub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i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ub>
            </m:sSub>
            <m:r>
              <m:rPr/>
              <w:rPr>
                <w:rStyle w:val="15"/>
                <w:rFonts w:ascii="Cambria Math" w:hAnsi="Cambria Math"/>
                <w:sz w:val="22"/>
              </w:rPr>
              <m:t>×</m:t>
            </m:r>
            <m:sSub>
              <m:sSubP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SubPr>
              <m:e>
                <m:r>
                  <m:rPr/>
                  <w:rPr>
                    <w:rStyle w:val="15"/>
                    <w:rFonts w:hint="eastAsia" w:ascii="Cambria Math" w:hAnsi="Cambria Math"/>
                    <w:sz w:val="22"/>
                  </w:rPr>
                  <m:t>β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e>
              <m:sub>
                <m:r>
                  <m:rPr/>
                  <w:rPr>
                    <w:rStyle w:val="15"/>
                    <w:rFonts w:ascii="Cambria Math" w:hAnsi="Cambria Math"/>
                    <w:sz w:val="22"/>
                  </w:rPr>
                  <m:t>i</m:t>
                </m:r>
                <m:ctrlPr>
                  <w:rPr>
                    <w:rStyle w:val="15"/>
                    <w:rFonts w:ascii="Cambria Math" w:hAnsi="Cambria Math"/>
                    <w:i/>
                    <w:sz w:val="22"/>
                  </w:rPr>
                </m:ctrlPr>
              </m:sub>
            </m:sSub>
            <m:ctrlPr>
              <w:rPr>
                <w:rStyle w:val="15"/>
                <w:rFonts w:ascii="Cambria Math" w:hAnsi="Cambria Math"/>
                <w:i/>
                <w:sz w:val="22"/>
              </w:rPr>
            </m:ctrlPr>
          </m:e>
        </m:nary>
      </m:oMath>
      <w:r>
        <w:rPr>
          <w:rStyle w:val="15"/>
          <w:rFonts w:hint="eastAsia"/>
          <w:sz w:val="22"/>
        </w:rPr>
        <w:t>,</w:t>
      </w:r>
    </w:p>
    <w:p w14:paraId="48DCE8E0">
      <w:pPr>
        <w:pStyle w:val="5"/>
        <w:spacing w:before="0" w:beforeAutospacing="0" w:line="429" w:lineRule="atLeast"/>
        <w:ind w:left="900"/>
        <w:rPr>
          <w:rFonts w:ascii="Segoe UI" w:hAnsi="Segoe UI" w:cs="Segoe UI"/>
          <w:color w:val="404040"/>
        </w:rPr>
      </w:pPr>
      <w:r>
        <w:rPr>
          <w:rStyle w:val="13"/>
          <w:rFonts w:ascii="KaTeX_Math" w:hAnsi="KaTeX_Math" w:cs="Times New Roman"/>
          <w:i/>
          <w:iCs/>
          <w:color w:val="404040"/>
          <w:sz w:val="29"/>
          <w:szCs w:val="29"/>
        </w:rPr>
        <w:t>w</w:t>
      </w:r>
      <w:r>
        <w:rPr>
          <w:rStyle w:val="13"/>
          <w:rFonts w:ascii="KaTeX_Math" w:hAnsi="KaTeX_Math" w:cs="Times New Roman"/>
          <w:i/>
          <w:iCs/>
          <w:color w:val="404040"/>
          <w:sz w:val="20"/>
          <w:szCs w:val="20"/>
          <w:vertAlign w:val="subscript"/>
        </w:rPr>
        <w:t>i</w:t>
      </w:r>
      <w:r>
        <w:rPr>
          <w:rStyle w:val="14"/>
          <w:rFonts w:ascii="Times New Roman" w:hAnsi="Times New Roman" w:cs="Times New Roman"/>
          <w:color w:val="404040"/>
          <w:sz w:val="2"/>
          <w:szCs w:val="2"/>
          <w:vertAlign w:val="subscript"/>
        </w:rPr>
        <w:t>​</w:t>
      </w:r>
      <w:r>
        <w:rPr>
          <w:rFonts w:ascii="Segoe UI" w:hAnsi="Segoe UI" w:cs="Segoe UI"/>
          <w:color w:val="404040"/>
        </w:rPr>
        <w:t>：</w:t>
      </w:r>
      <w:r>
        <w:rPr>
          <w:rFonts w:cstheme="minorBidi"/>
          <w:kern w:val="2"/>
          <w:szCs w:val="22"/>
        </w:rPr>
        <w:t>第i</w:t>
      </w:r>
      <w:r>
        <w:rPr>
          <w:rFonts w:hint="eastAsia" w:cstheme="minorBidi"/>
          <w:kern w:val="2"/>
          <w:szCs w:val="22"/>
        </w:rPr>
        <w:t>支</w:t>
      </w:r>
      <w:r>
        <w:rPr>
          <w:rFonts w:cstheme="minorBidi"/>
          <w:kern w:val="2"/>
          <w:szCs w:val="22"/>
        </w:rPr>
        <w:t>股票</w:t>
      </w:r>
      <w:r>
        <w:rPr>
          <w:rFonts w:ascii="Segoe UI" w:hAnsi="Segoe UI" w:cs="Segoe UI"/>
          <w:color w:val="404040"/>
        </w:rPr>
        <w:t>在组合中的权重（</w:t>
      </w:r>
      <w:r>
        <w:rPr>
          <w:rStyle w:val="20"/>
          <w:rFonts w:ascii="Times New Roman" w:hAnsi="Times New Roman" w:cs="Times New Roman"/>
          <w:color w:val="404040"/>
          <w:sz w:val="29"/>
          <w:szCs w:val="29"/>
        </w:rPr>
        <w:t>∑</w:t>
      </w:r>
      <w:r>
        <w:rPr>
          <w:rStyle w:val="13"/>
          <w:rFonts w:ascii="KaTeX_Math" w:hAnsi="KaTeX_Math" w:cs="Times New Roman"/>
          <w:i/>
          <w:iCs/>
          <w:color w:val="404040"/>
          <w:sz w:val="29"/>
          <w:szCs w:val="29"/>
        </w:rPr>
        <w:t>w</w:t>
      </w:r>
      <w:r>
        <w:rPr>
          <w:rStyle w:val="13"/>
          <w:rFonts w:ascii="KaTeX_Math" w:hAnsi="KaTeX_Math" w:cs="Times New Roman"/>
          <w:i/>
          <w:iCs/>
          <w:color w:val="404040"/>
          <w:sz w:val="20"/>
          <w:szCs w:val="20"/>
          <w:vertAlign w:val="subscript"/>
        </w:rPr>
        <w:t>i</w:t>
      </w:r>
      <w:r>
        <w:rPr>
          <w:rStyle w:val="14"/>
          <w:rFonts w:ascii="Times New Roman" w:hAnsi="Times New Roman" w:cs="Times New Roman"/>
          <w:color w:val="404040"/>
          <w:sz w:val="2"/>
          <w:szCs w:val="2"/>
          <w:vertAlign w:val="subscript"/>
        </w:rPr>
        <w:t>​</w:t>
      </w:r>
      <w:r>
        <w:rPr>
          <w:rStyle w:val="20"/>
          <w:rFonts w:ascii="Times New Roman" w:hAnsi="Times New Roman" w:cs="Times New Roman"/>
          <w:color w:val="404040"/>
          <w:sz w:val="29"/>
          <w:szCs w:val="29"/>
        </w:rPr>
        <w:t>=1</w:t>
      </w:r>
      <w:r>
        <w:rPr>
          <w:rFonts w:ascii="Segoe UI" w:hAnsi="Segoe UI" w:cs="Segoe UI"/>
          <w:color w:val="404040"/>
        </w:rPr>
        <w:t>）</w:t>
      </w:r>
      <w:r>
        <w:rPr>
          <w:rFonts w:hint="eastAsia" w:ascii="Segoe UI" w:hAnsi="Segoe UI" w:cs="Segoe UI"/>
          <w:color w:val="404040"/>
        </w:rPr>
        <w:t>，</w:t>
      </w:r>
      <w:r>
        <w:rPr>
          <w:rStyle w:val="13"/>
          <w:rFonts w:ascii="KaTeX_Math" w:hAnsi="KaTeX_Math" w:cs="Times New Roman"/>
          <w:i/>
          <w:iCs/>
          <w:color w:val="404040"/>
          <w:sz w:val="29"/>
          <w:szCs w:val="29"/>
        </w:rPr>
        <w:t>β</w:t>
      </w:r>
      <w:r>
        <w:rPr>
          <w:rStyle w:val="13"/>
          <w:rFonts w:ascii="KaTeX_Math" w:hAnsi="KaTeX_Math" w:cs="Times New Roman"/>
          <w:i/>
          <w:iCs/>
          <w:color w:val="404040"/>
          <w:sz w:val="20"/>
          <w:szCs w:val="20"/>
        </w:rPr>
        <w:t>i</w:t>
      </w:r>
      <w:r>
        <w:rPr>
          <w:rStyle w:val="14"/>
          <w:rFonts w:ascii="Times New Roman" w:hAnsi="Times New Roman" w:cs="Times New Roman"/>
          <w:color w:val="404040"/>
          <w:sz w:val="2"/>
          <w:szCs w:val="2"/>
        </w:rPr>
        <w:t>​</w:t>
      </w:r>
      <w:r>
        <w:rPr>
          <w:rFonts w:ascii="Segoe UI" w:hAnsi="Segoe UI" w:cs="Segoe UI"/>
          <w:color w:val="404040"/>
        </w:rPr>
        <w:t>：</w:t>
      </w:r>
      <w:r>
        <w:rPr>
          <w:rFonts w:cstheme="minorBidi"/>
          <w:kern w:val="2"/>
          <w:szCs w:val="22"/>
        </w:rPr>
        <w:t>第i</w:t>
      </w:r>
      <w:r>
        <w:rPr>
          <w:rFonts w:hint="eastAsia" w:cstheme="minorBidi"/>
          <w:kern w:val="2"/>
          <w:szCs w:val="22"/>
        </w:rPr>
        <w:t>支</w:t>
      </w:r>
      <w:r>
        <w:rPr>
          <w:rFonts w:cstheme="minorBidi"/>
          <w:kern w:val="2"/>
          <w:szCs w:val="22"/>
        </w:rPr>
        <w:t>股票</w:t>
      </w:r>
      <w:r>
        <w:rPr>
          <w:rFonts w:ascii="Segoe UI" w:hAnsi="Segoe UI" w:cs="Segoe UI"/>
          <w:color w:val="404040"/>
        </w:rPr>
        <w:t>的</w:t>
      </w:r>
      <w:r>
        <w:rPr>
          <w:rFonts w:hint="eastAsia" w:ascii="Segoe UI" w:hAnsi="Segoe UI" w:cs="Segoe UI"/>
          <w:color w:val="404040"/>
        </w:rPr>
        <w:t>β</w:t>
      </w:r>
      <w:r>
        <w:rPr>
          <w:rFonts w:ascii="Segoe UI" w:hAnsi="Segoe UI" w:cs="Segoe UI"/>
          <w:color w:val="404040"/>
        </w:rPr>
        <w:t>值。</w:t>
      </w:r>
    </w:p>
    <w:p w14:paraId="2E44CE4B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2、解释各股票在投资组合配置中所占比例的经济意义。</w:t>
      </w:r>
    </w:p>
    <w:p w14:paraId="261D73BC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ascii="宋体" w:hAnsi="宋体" w:eastAsia="宋体"/>
          <w:b/>
          <w:bCs/>
          <w:sz w:val="24"/>
        </w:rPr>
        <w:t>（五）均值-方差投资组合优化（Markowitz模型）</w:t>
      </w:r>
    </w:p>
    <w:p w14:paraId="4BAD154B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1、针对选出的5只股票，</w:t>
      </w:r>
      <w:r>
        <w:rPr>
          <w:rFonts w:ascii="宋体" w:hAnsi="宋体" w:eastAsia="宋体"/>
          <w:sz w:val="24"/>
        </w:rPr>
        <w:t>基于相同的2022年1月1日至2024年12月31日</w:t>
      </w:r>
      <w:r>
        <w:rPr>
          <w:rFonts w:hint="eastAsia" w:ascii="宋体" w:hAnsi="宋体" w:eastAsia="宋体"/>
          <w:sz w:val="24"/>
        </w:rPr>
        <w:t>的股票/指数的收益率数据</w:t>
      </w:r>
      <w:r>
        <w:rPr>
          <w:rFonts w:ascii="宋体" w:hAnsi="宋体" w:eastAsia="宋体"/>
          <w:sz w:val="24"/>
        </w:rPr>
        <w:t>，</w:t>
      </w:r>
      <w:r>
        <w:rPr>
          <w:rFonts w:hint="eastAsia" w:ascii="宋体" w:hAnsi="宋体" w:eastAsia="宋体"/>
          <w:sz w:val="24"/>
        </w:rPr>
        <w:t>在</w:t>
      </w:r>
      <w:r>
        <w:rPr>
          <w:rFonts w:ascii="宋体" w:hAnsi="宋体" w:eastAsia="宋体"/>
          <w:sz w:val="24"/>
        </w:rPr>
        <w:t>不允许卖空</w:t>
      </w:r>
      <w:r>
        <w:rPr>
          <w:rFonts w:hint="eastAsia" w:ascii="宋体" w:hAnsi="宋体" w:eastAsia="宋体"/>
          <w:sz w:val="24"/>
        </w:rPr>
        <w:t>的情形下，分别</w:t>
      </w:r>
      <w:r>
        <w:rPr>
          <w:rFonts w:ascii="宋体" w:hAnsi="宋体" w:eastAsia="宋体"/>
          <w:sz w:val="24"/>
        </w:rPr>
        <w:t>计算最小方差组合和最大夏普比率组合（无风险利率设为1.5%年化）。</w:t>
      </w:r>
    </w:p>
    <w:p w14:paraId="64E17EA0">
      <w:pPr>
        <w:spacing w:before="240" w:line="276" w:lineRule="auto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宋体" w:hAnsi="宋体" w:eastAsia="宋体"/>
          <w:sz w:val="24"/>
        </w:rPr>
        <w:t>2、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绘制有效前沿曲线，并在图上标出最小方差组合、最大夏普比率组合以及等权重组合的位置。</w:t>
      </w:r>
    </w:p>
    <w:p w14:paraId="0FB2F485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3、计算5只股票的</w:t>
      </w:r>
      <w:r>
        <w:rPr>
          <w:rFonts w:ascii="宋体" w:hAnsi="宋体" w:eastAsia="宋体"/>
          <w:sz w:val="24"/>
        </w:rPr>
        <w:t>最优权重、预期年化收益率、年化波动率、夏普比率。</w:t>
      </w:r>
    </w:p>
    <w:p w14:paraId="2390452F">
      <w:pPr>
        <w:spacing w:before="240" w:line="276" w:lineRule="auto"/>
        <w:ind w:firstLine="482" w:firstLineChars="200"/>
        <w:jc w:val="left"/>
        <w:rPr>
          <w:rFonts w:ascii="宋体" w:hAnsi="宋体" w:eastAsia="宋体"/>
          <w:b/>
          <w:bCs/>
          <w:sz w:val="24"/>
        </w:rPr>
      </w:pPr>
      <w:r>
        <w:rPr>
          <w:rFonts w:ascii="宋体" w:hAnsi="宋体" w:eastAsia="宋体"/>
          <w:b/>
          <w:bCs/>
          <w:sz w:val="24"/>
        </w:rPr>
        <w:t>（六）组合回测与盈亏分析</w:t>
      </w:r>
    </w:p>
    <w:p w14:paraId="1A69B66A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使用202</w:t>
      </w:r>
      <w:r>
        <w:rPr>
          <w:rFonts w:hint="eastAsia" w:ascii="宋体" w:hAnsi="宋体" w:eastAsia="宋体"/>
          <w:sz w:val="24"/>
        </w:rPr>
        <w:t>5</w:t>
      </w:r>
      <w:r>
        <w:rPr>
          <w:rFonts w:ascii="宋体" w:hAnsi="宋体" w:eastAsia="宋体"/>
          <w:sz w:val="24"/>
        </w:rPr>
        <w:t>年1月1日至202</w:t>
      </w:r>
      <w:r>
        <w:rPr>
          <w:rFonts w:hint="eastAsia" w:ascii="宋体" w:hAnsi="宋体" w:eastAsia="宋体"/>
          <w:sz w:val="24"/>
        </w:rPr>
        <w:t>5</w:t>
      </w:r>
      <w:r>
        <w:rPr>
          <w:rFonts w:ascii="宋体" w:hAnsi="宋体" w:eastAsia="宋体"/>
          <w:sz w:val="24"/>
        </w:rPr>
        <w:t>年12月31日的实际数据，对以下</w:t>
      </w:r>
      <w:r>
        <w:rPr>
          <w:rFonts w:hint="eastAsia" w:ascii="宋体" w:hAnsi="宋体" w:eastAsia="宋体"/>
          <w:sz w:val="24"/>
        </w:rPr>
        <w:t>4个投资</w:t>
      </w:r>
      <w:r>
        <w:rPr>
          <w:rFonts w:ascii="宋体" w:hAnsi="宋体" w:eastAsia="宋体"/>
          <w:sz w:val="24"/>
        </w:rPr>
        <w:t>组合进行回测：</w:t>
      </w:r>
    </w:p>
    <w:p w14:paraId="6487B063">
      <w:pPr>
        <w:spacing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</w:t>
      </w:r>
      <w:r>
        <w:rPr>
          <w:rFonts w:ascii="宋体" w:hAnsi="宋体" w:eastAsia="宋体"/>
          <w:sz w:val="24"/>
        </w:rPr>
        <w:t>整数规划组合（来自任务四）</w:t>
      </w:r>
    </w:p>
    <w:p w14:paraId="4486A26D">
      <w:pPr>
        <w:spacing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</w:t>
      </w:r>
      <w:r>
        <w:rPr>
          <w:rFonts w:ascii="宋体" w:hAnsi="宋体" w:eastAsia="宋体"/>
          <w:sz w:val="24"/>
        </w:rPr>
        <w:t>最大夏普比率组合（</w:t>
      </w:r>
      <w:r>
        <w:rPr>
          <w:rFonts w:hint="eastAsia" w:ascii="宋体" w:hAnsi="宋体" w:eastAsia="宋体"/>
          <w:sz w:val="24"/>
        </w:rPr>
        <w:t>来自任务五</w:t>
      </w:r>
      <w:r>
        <w:rPr>
          <w:rFonts w:ascii="宋体" w:hAnsi="宋体" w:eastAsia="宋体"/>
          <w:sz w:val="24"/>
        </w:rPr>
        <w:t>）</w:t>
      </w:r>
    </w:p>
    <w:p w14:paraId="7C120EFA">
      <w:pPr>
        <w:spacing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</w:t>
      </w:r>
      <w:r>
        <w:rPr>
          <w:rFonts w:ascii="宋体" w:hAnsi="宋体" w:eastAsia="宋体"/>
          <w:sz w:val="24"/>
        </w:rPr>
        <w:t>最小方差组合（</w:t>
      </w:r>
      <w:r>
        <w:rPr>
          <w:rFonts w:hint="eastAsia" w:ascii="宋体" w:hAnsi="宋体" w:eastAsia="宋体"/>
          <w:sz w:val="24"/>
        </w:rPr>
        <w:t>来自任务五</w:t>
      </w:r>
      <w:r>
        <w:rPr>
          <w:rFonts w:ascii="宋体" w:hAnsi="宋体" w:eastAsia="宋体"/>
          <w:sz w:val="24"/>
        </w:rPr>
        <w:t>）</w:t>
      </w:r>
    </w:p>
    <w:p w14:paraId="5BD595CA">
      <w:pPr>
        <w:spacing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</w:t>
      </w:r>
      <w:r>
        <w:rPr>
          <w:rFonts w:ascii="宋体" w:hAnsi="宋体" w:eastAsia="宋体"/>
          <w:sz w:val="24"/>
        </w:rPr>
        <w:t>等权重组合</w:t>
      </w:r>
    </w:p>
    <w:p w14:paraId="554619CB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1、</w:t>
      </w:r>
      <w:r>
        <w:rPr>
          <w:rFonts w:ascii="宋体" w:hAnsi="宋体" w:eastAsia="宋体"/>
          <w:sz w:val="24"/>
        </w:rPr>
        <w:t>计算每个组合在回测期的日收益率序列，绘制累计净值曲线。</w:t>
      </w:r>
    </w:p>
    <w:p w14:paraId="5E591419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2、</w:t>
      </w:r>
      <w:r>
        <w:rPr>
          <w:rFonts w:ascii="宋体" w:hAnsi="宋体" w:eastAsia="宋体"/>
          <w:sz w:val="24"/>
        </w:rPr>
        <w:t>计算并对比以下</w:t>
      </w:r>
      <w:r>
        <w:rPr>
          <w:rFonts w:hint="eastAsia" w:ascii="宋体" w:hAnsi="宋体" w:eastAsia="宋体"/>
          <w:sz w:val="24"/>
        </w:rPr>
        <w:t>收益</w:t>
      </w:r>
      <w:r>
        <w:rPr>
          <w:rFonts w:ascii="宋体" w:hAnsi="宋体" w:eastAsia="宋体"/>
          <w:sz w:val="24"/>
        </w:rPr>
        <w:t>指标：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年化收益率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、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年化波动率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、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夏普比率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、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最大回撤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、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Calmar比率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（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Calmar比率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=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年化收益率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/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最大回撤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），并对数据分析结果进行解释阐述，并</w:t>
      </w:r>
      <w:r>
        <w:rPr>
          <w:rFonts w:ascii="宋体" w:hAnsi="宋体" w:eastAsia="宋体"/>
          <w:sz w:val="24"/>
        </w:rPr>
        <w:t>绘制各</w:t>
      </w:r>
      <w:r>
        <w:rPr>
          <w:rFonts w:hint="eastAsia" w:ascii="宋体" w:hAnsi="宋体" w:eastAsia="宋体"/>
          <w:sz w:val="24"/>
        </w:rPr>
        <w:t>投资</w:t>
      </w:r>
      <w:r>
        <w:rPr>
          <w:rFonts w:ascii="宋体" w:hAnsi="宋体" w:eastAsia="宋体"/>
          <w:sz w:val="24"/>
        </w:rPr>
        <w:t>组合的动态回撤曲线。</w:t>
      </w:r>
    </w:p>
    <w:p w14:paraId="0F8B1EB0">
      <w:pPr>
        <w:spacing w:before="240" w:line="276" w:lineRule="auto"/>
        <w:ind w:firstLine="480" w:firstLineChars="200"/>
        <w:jc w:val="left"/>
        <w:rPr>
          <w:rFonts w:ascii="Segoe UI" w:hAnsi="Segoe UI" w:eastAsia="宋体" w:cs="Segoe UI"/>
          <w:color w:val="0F1115"/>
          <w:kern w:val="0"/>
          <w:sz w:val="24"/>
          <w:szCs w:val="24"/>
        </w:rPr>
      </w:pPr>
      <w:r>
        <w:rPr>
          <w:rFonts w:hint="eastAsia" w:ascii="宋体" w:hAnsi="宋体" w:eastAsia="宋体"/>
          <w:sz w:val="24"/>
        </w:rPr>
        <w:t>3、</w:t>
      </w:r>
      <w:r>
        <w:rPr>
          <w:rFonts w:ascii="宋体" w:hAnsi="宋体" w:eastAsia="宋体"/>
          <w:sz w:val="24"/>
        </w:rPr>
        <w:t>计算每个组合在回测期内的盈利天数占比（日收益率&gt;0的天数/总天数）</w:t>
      </w:r>
      <w:r>
        <w:rPr>
          <w:rFonts w:hint="eastAsia" w:ascii="宋体" w:hAnsi="宋体" w:eastAsia="宋体"/>
          <w:sz w:val="24"/>
        </w:rPr>
        <w:t>，</w:t>
      </w:r>
      <w:r>
        <w:rPr>
          <w:rFonts w:ascii="宋体" w:hAnsi="宋体" w:eastAsia="宋体"/>
          <w:sz w:val="24"/>
        </w:rPr>
        <w:t>计算平均盈利（所有正收益日的平均收益率）和平均亏损（所有负收益日的平均收益率绝对值）</w:t>
      </w:r>
      <w:r>
        <w:rPr>
          <w:rFonts w:hint="eastAsia" w:ascii="宋体" w:hAnsi="宋体" w:eastAsia="宋体"/>
          <w:sz w:val="24"/>
        </w:rPr>
        <w:t>，</w:t>
      </w:r>
      <w:r>
        <w:rPr>
          <w:rFonts w:ascii="宋体" w:hAnsi="宋体" w:eastAsia="宋体"/>
          <w:sz w:val="24"/>
        </w:rPr>
        <w:t>计算盈亏比</w:t>
      </w:r>
      <w:r>
        <w:rPr>
          <w:rFonts w:hint="eastAsia" w:ascii="宋体" w:hAnsi="宋体" w:eastAsia="宋体"/>
          <w:sz w:val="24"/>
        </w:rPr>
        <w:t>（</w:t>
      </w:r>
      <w:r>
        <w:rPr>
          <w:rFonts w:ascii="宋体" w:hAnsi="宋体" w:eastAsia="宋体"/>
          <w:sz w:val="24"/>
        </w:rPr>
        <w:t>盈亏比=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平均盈利/平均亏损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），对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各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个投资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组合的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上述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指标</w:t>
      </w:r>
      <w:r>
        <w:rPr>
          <w:rFonts w:hint="eastAsia" w:ascii="Segoe UI" w:hAnsi="Segoe UI" w:eastAsia="宋体" w:cs="Segoe UI"/>
          <w:color w:val="0F1115"/>
          <w:kern w:val="0"/>
          <w:sz w:val="24"/>
          <w:szCs w:val="24"/>
        </w:rPr>
        <w:t>计算结果进行</w:t>
      </w:r>
      <w:r>
        <w:rPr>
          <w:rFonts w:ascii="Segoe UI" w:hAnsi="Segoe UI" w:eastAsia="宋体" w:cs="Segoe UI"/>
          <w:color w:val="0F1115"/>
          <w:kern w:val="0"/>
          <w:sz w:val="24"/>
          <w:szCs w:val="24"/>
        </w:rPr>
        <w:t>比较。</w:t>
      </w:r>
    </w:p>
    <w:p w14:paraId="687449EB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4、</w:t>
      </w:r>
      <w:r>
        <w:rPr>
          <w:rFonts w:ascii="宋体" w:hAnsi="宋体" w:eastAsia="宋体"/>
          <w:sz w:val="24"/>
        </w:rPr>
        <w:t>盈亏分布可视化</w:t>
      </w:r>
      <w:r>
        <w:rPr>
          <w:rFonts w:hint="eastAsia" w:ascii="宋体" w:hAnsi="宋体" w:eastAsia="宋体"/>
          <w:sz w:val="24"/>
        </w:rPr>
        <w:t>：</w:t>
      </w:r>
    </w:p>
    <w:p w14:paraId="2E82560A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</w:t>
      </w:r>
      <w:r>
        <w:rPr>
          <w:rFonts w:ascii="宋体" w:hAnsi="宋体" w:eastAsia="宋体"/>
          <w:sz w:val="24"/>
        </w:rPr>
        <w:t>计算各组合的偏度与峰度，并与任务（二）中的单股票对比。</w:t>
      </w:r>
    </w:p>
    <w:p w14:paraId="4A245152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</w:t>
      </w:r>
      <w:r>
        <w:rPr>
          <w:rFonts w:ascii="宋体" w:hAnsi="宋体" w:eastAsia="宋体"/>
          <w:sz w:val="24"/>
        </w:rPr>
        <w:t>绘制各组合日收益率的直方图（叠加</w:t>
      </w:r>
      <w:r>
        <w:rPr>
          <w:rFonts w:hint="eastAsia" w:ascii="宋体" w:hAnsi="宋体" w:eastAsia="宋体"/>
          <w:sz w:val="24"/>
        </w:rPr>
        <w:t>核密度</w:t>
      </w:r>
      <w:r>
        <w:rPr>
          <w:rFonts w:ascii="宋体" w:hAnsi="宋体" w:eastAsia="宋体"/>
          <w:sz w:val="24"/>
        </w:rPr>
        <w:t>分布曲线）</w:t>
      </w:r>
      <w:r>
        <w:rPr>
          <w:rFonts w:hint="eastAsia" w:ascii="宋体" w:hAnsi="宋体" w:eastAsia="宋体"/>
          <w:sz w:val="24"/>
        </w:rPr>
        <w:t>。</w:t>
      </w:r>
    </w:p>
    <w:p w14:paraId="30AAFCA6">
      <w:pPr>
        <w:spacing w:before="240" w:line="276" w:lineRule="auto"/>
        <w:ind w:firstLine="480" w:firstLineChars="200"/>
        <w:jc w:val="lef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</w:t>
      </w:r>
      <w:r>
        <w:rPr>
          <w:rFonts w:ascii="宋体" w:hAnsi="宋体" w:eastAsia="宋体"/>
          <w:sz w:val="24"/>
        </w:rPr>
        <w:t>绘制箱线图（按月分组，观察月度盈亏波动）。</w:t>
      </w:r>
    </w:p>
    <w:p w14:paraId="323121C0">
      <w:pPr>
        <w:jc w:val="left"/>
        <w:rPr>
          <w:b/>
          <w:sz w:val="28"/>
        </w:rPr>
      </w:pPr>
      <w:r>
        <w:rPr>
          <w:rFonts w:hint="eastAsia"/>
          <w:b/>
          <w:sz w:val="28"/>
        </w:rPr>
        <w:t>三、实验分析过程及结果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（一）数据采集与预处理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本实验选取了10只来自不同行业的A股代表性股票作为候选池，包括贵州茅台（600519.SH）、五粮液（000858.SZ）、中国平安（601318.SH）、招商银行（600036.SH）、美的集团（000333.SZ）、海康威视（002415.SZ）、恒瑞医药（600276.SH）、中国中免（601888.SH）、比亚迪（002594.SZ）和长江电力（600900.SH），覆盖白酒、保险、银行、家电、科技、医药、旅游、新能源和电力等行业。市场指数选用沪深300指数（000300.SH）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数据来源为Tushare金融数据接口，时间跨度为2022年1月1日至2025年12月31日。为避免股票拆股等公司行为导致价格跳变，采用前复权（qfq）收盘价数据。数据导入后，将日期列转换为datetime格式并设为索引，按日期升序排列；对缺失值采用前向填充（ffill）处理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在此基础上计算了每日对数收益率 Rt = ln(Pt) - ln(Pt-1)，并生成了2022-2025年各股票的累计涨跌幅序列。从累计涨跌幅来看，长江电力在整个区间内表现最为稳健，累计涨幅较高；而中国中免等股票出现了较大幅度的回调。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（二）描述性统计与相关性分析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基于2022-2025年的日收益率数据，计算了10只股票的描述性统计量。各股票日均收益率普遍接近0，标准差反映了不同的波动水平。从偏度来看，多数股票的收益率分布呈轻微右偏或左偏；从峰度来看，部分股票存在尖峰厚尾特征，说明极端收益出现的概率高于正态分布假设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协方差矩阵和相关系数矩阵显示，同行业股票（如贵州茅台与五粮液）之间的相关性较高，而跨行业股票（如长江电力与比亚迪）之间的相关性较低，这为投资组合的分散化提供了基础。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 w:val="0"/>
          <w:sz w:val="24"/>
        </w:rPr>
        <w:t>图1为10只股票的收盘价走势图，图2为收益率箱线图，图3为相关性热图。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25200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1_收盘价折线图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52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图1  10只股票收盘价走势图（2022-2025）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25200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2_收益率箱线图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52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图2  10只股票日收益率箱线图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40320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3_相关性热图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032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图3  股票收益率相关系数热图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（三）基于三因子模型的选股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以2022-2024年为训练期，首先对10只候选股票进行CAPM单因子回归，估计各股票的alpha和beta。图4展示了各股票超额收益与市场超额收益的散点图及回归线。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20160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4_CAPM回归散点图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016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图4  CAPM回归散点图与回归线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进一步构造Fama-French三因子数据：MKT为沪深300的市场超额收益；SMB（规模因子）用中证500收益率减去上证50收益率近似；HML（价值因子）用红利指数收益率减去创业板指收益率近似。对每只股票进行三因子回归后，记录alpha值、各因子系数及调整R平方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三因子回归结果汇总如下表所示：</w:t>
      </w:r>
    </w:p>
    <w:tbl>
      <w:tblPr>
        <w:tblStyle w:val="7"/>
        <w:tblW w:type="auto" w:w="0"/>
        <w:tblLook w:firstColumn="1" w:firstRow="1" w:lastColumn="0" w:lastRow="0" w:noHBand="0" w:noVBand="1" w:val="04A0"/>
      </w:tblPr>
      <w:tblGrid>
        <w:gridCol w:w="923"/>
        <w:gridCol w:w="923"/>
        <w:gridCol w:w="923"/>
        <w:gridCol w:w="923"/>
        <w:gridCol w:w="923"/>
        <w:gridCol w:w="923"/>
        <w:gridCol w:w="923"/>
        <w:gridCol w:w="923"/>
        <w:gridCol w:w="923"/>
      </w:tblGrid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股票代码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股票名称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α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p值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β_MKT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β_SMB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β_HML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Adj.R²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18"/>
              </w:rPr>
              <w:t>入选</w:t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600519.SH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贵州茅台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0.0000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0.8954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0.9847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-0.6751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-0.1206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0.6343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000858.SZ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五粮液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-0.0001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0.8713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1.2906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-0.5587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-0.1255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0.6193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601318.SH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中国平安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0.0005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0.1777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1.3177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-0.4094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0.1816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0.6641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✓</w:t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600036.SH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招商银行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0.7799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1.2861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-0.6738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0.2479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0.6859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000333.SZ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美的集团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0.4998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1.0331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-0.3135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0.1538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0.3987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✓</w:t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002415.SZ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海康威视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-0.0002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0.6735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0.9736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0.0701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-0.1126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0.3934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600276.SH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恒瑞医药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0.6673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0.8047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-0.0164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-0.2110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0.3118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✓</w:t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601888.SH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中国中免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-0.0009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0.1648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1.3535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-0.4361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-0.3199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0.5374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002594.SZ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比亚迪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0.3211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0.9040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0.0376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-0.3497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0.4439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✓</w:t>
            </w:r>
          </w:p>
        </w:tc>
      </w:tr>
      <w:tr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600900.SH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长江电力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0.0004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0.3032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0.4873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-0.1552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0.2958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0.2758</w:t>
            </w:r>
          </w:p>
        </w:tc>
        <w:tc>
          <w:tcPr>
            <w:tcW w:type="dxa" w:w="923"/>
          </w:tcPr>
          <w:p>
            <w:pPr>
              <w:jc w:val="center"/>
            </w:pPr>
            <w:r>
              <w:rPr>
                <w:rFonts w:ascii="宋体" w:hAnsi="宋体" w:eastAsia="宋体"/>
                <w:sz w:val="18"/>
              </w:rPr>
              <w:t>✓</w:t>
            </w:r>
          </w:p>
        </w:tc>
      </w:tr>
    </w:tbl>
    <w:p>
      <w:pPr>
        <w:jc w:val="center"/>
      </w:pPr>
      <w:r>
        <w:rPr>
          <w:rFonts w:ascii="宋体" w:hAnsi="宋体" w:eastAsia="宋体"/>
          <w:b w:val="0"/>
          <w:sz w:val="20"/>
        </w:rPr>
        <w:t>表1  10只股票三因子回归结果汇总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选股规则为：选取三因子回归中alpha最大且统计显著（p&lt;0.10）的5只股票。由于满足p&lt;0.10条件的股票不足5只，因此按alpha值从大到小排序选取前5只。最终选出的5只股票为：比亚迪（α=0.0006）、中国平安（α=0.0005）、长江电力（α=0.0004）、美的集团（α=0.0003）和恒瑞医药（α=0.0003）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从因子暴露来看：比亚迪的HML系数为负，说明它偏向成长风格；长江电力的MKT系数最低（0.49），属于低beta防御型股票，HML为正，偏价值风格；中国平安的MKT系数较高（1.32），具有较强的市场敏感性。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（四）基于整数线性规划的投资组合配置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投资人A拟投入200万元，对5只选出的股票进行整数规划配置。约束条件包括：每只股票至少购买20手（2000股），组合市场beta不超过1。目标为最大化基于2022-2024年年化对数收益率的预期投资收益。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采用scipy.optimize.milp求解器进行求解。其中beta约束通过线性化处理：将组合beta &lt;= 1转化为 Σ(ni × costi × (βi - 1)) &lt;= 0 的线性不等式约束。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整数规划求解结果如下：</w:t>
      </w:r>
    </w:p>
    <w:tbl>
      <w:tblPr>
        <w:tblStyle w:val="7"/>
        <w:tblW w:type="auto" w:w="0"/>
        <w:tblLook w:firstColumn="1" w:firstRow="1" w:lastColumn="0" w:lastRow="0" w:noHBand="0" w:noVBand="1" w:val="04A0"/>
      </w:tblPr>
      <w:tblGrid>
        <w:gridCol w:w="1384"/>
        <w:gridCol w:w="1384"/>
        <w:gridCol w:w="1384"/>
        <w:gridCol w:w="1384"/>
        <w:gridCol w:w="1384"/>
        <w:gridCol w:w="1384"/>
      </w:tblGrid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股票名称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手数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股数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投入资金（元）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权重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Beta</w:t>
            </w:r>
          </w:p>
        </w:tc>
      </w:tr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比亚迪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2,000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186,220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9.32%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1.1765</w:t>
            </w:r>
          </w:p>
        </w:tc>
      </w:tr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中国平安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2,000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100,680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5.04%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1.1333</w:t>
            </w:r>
          </w:p>
        </w:tc>
      </w:tr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长江电力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516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51,600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1,476,792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73.92%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0.2432</w:t>
            </w:r>
          </w:p>
        </w:tc>
      </w:tr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美的集团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2,000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142,600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7.14%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0.8806</w:t>
            </w:r>
          </w:p>
        </w:tc>
      </w:tr>
      <w:tr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恒瑞医药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2,000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91,460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4.58%</w:t>
            </w:r>
          </w:p>
        </w:tc>
        <w:tc>
          <w:tcPr>
            <w:tcW w:type="dxa" w:w="1384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0.9648</w:t>
            </w:r>
          </w:p>
        </w:tc>
      </w:tr>
    </w:tbl>
    <w:p>
      <w:pPr>
        <w:jc w:val="center"/>
      </w:pPr>
      <w:r>
        <w:rPr>
          <w:rFonts w:ascii="宋体" w:hAnsi="宋体" w:eastAsia="宋体"/>
          <w:b w:val="0"/>
          <w:sz w:val="20"/>
        </w:rPr>
        <w:t>表2  整数规划投资组合配置结果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总投入资金为1,997,752元，剩余2,248元；组合beta为0.4536，远低于约束上限1.0；预期年化收益为9.80%。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配置比例来看，长江电力获得了最大权重（73.92%，516手），这是因为长江电力的beta极低（0.2432），在beta约束下可以容纳更多资金，同时其年化收益率最高（12.32%）。其余四只股票均为最低配置（20手），主要受beta约束和收益率的共同影响。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（五）均值-方差投资组合优化（Markowitz模型）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基于2022-2024年的日收益率数据，在不允许卖空的约束下，分别计算了最小方差组合和最大夏普比率组合（无风险利率1.5%年化），并与等权重组合进行对比。</w:t>
      </w:r>
    </w:p>
    <w:tbl>
      <w:tblPr>
        <w:tblStyle w:val="7"/>
        <w:tblW w:type="auto" w:w="0"/>
        <w:tblLook w:firstColumn="1" w:firstRow="1" w:lastColumn="0" w:lastRow="0" w:noHBand="0" w:noVBand="1" w:val="04A0"/>
      </w:tblPr>
      <w:tblGrid>
        <w:gridCol w:w="2076"/>
        <w:gridCol w:w="2076"/>
        <w:gridCol w:w="2076"/>
        <w:gridCol w:w="2076"/>
      </w:tblGrid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指标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最小方差组合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最大夏普比率组合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等权重组合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比亚迪权重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11.26%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0.00%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20.00%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中国平安权重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1.84%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1.24%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20.00%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长江电力权重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63.86%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98.76%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20.00%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美的集团权重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11.90%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0.00%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20.00%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恒瑞医药权重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11.14%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0.00%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20.00%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年化收益率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8.40%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12.25%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4.46%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年化波动率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15.49%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18.24%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19.17%</w:t>
            </w:r>
          </w:p>
        </w:tc>
      </w:tr>
      <w:tr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夏普比率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0.4458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0.5891</w:t>
            </w:r>
          </w:p>
        </w:tc>
        <w:tc>
          <w:tcPr>
            <w:tcW w:type="dxa" w:w="2076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0.1546</w:t>
            </w:r>
          </w:p>
        </w:tc>
      </w:tr>
    </w:tbl>
    <w:p>
      <w:pPr>
        <w:jc w:val="center"/>
      </w:pPr>
      <w:r>
        <w:rPr>
          <w:rFonts w:ascii="宋体" w:hAnsi="宋体" w:eastAsia="宋体"/>
          <w:b w:val="0"/>
          <w:sz w:val="20"/>
        </w:rPr>
        <w:t>表3  三种投资组合优化结果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最大夏普比率组合几乎将全部权重分配给了长江电力（98.76%），说明在训练期内长江电力的风险调整后收益最优。最小方差组合则更加分散，长江电力权重为63.86%，其余四只股票各占10%左右，体现了分散化降低风险的效果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 w:val="0"/>
          <w:sz w:val="24"/>
        </w:rPr>
        <w:t>图5展示了有效前沿曲线，标注了最小方差组合、最大夏普比率组合和等权重组合的位置，以及资本市场线。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35280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5_有效前沿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528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图5  有效前沿与最优组合</w:t>
      </w:r>
    </w:p>
    <w:p>
      <w:pPr>
        <w:spacing w:before="240" w:after="120" w:line="440" w:lineRule="exact"/>
        <w:jc w:val="left"/>
      </w:pPr>
      <w:r>
        <w:rPr>
          <w:rFonts w:ascii="宋体" w:hAnsi="宋体" w:eastAsia="宋体"/>
          <w:b/>
          <w:sz w:val="24"/>
        </w:rPr>
        <w:t>（六）组合回测与盈亏分析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使用2025年1月1日至2025年12月31日的实际数据，对整数规划组合、最大夏普比率组合、最小方差组合和等权重组合进行回测。回测期共243个交易日。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1. 累计净值与绩效指标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25200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6_累计净值曲线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52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图6  4个投资组合累计净值曲线（2025年回测）</w:t>
      </w:r>
    </w:p>
    <w:tbl>
      <w:tblPr>
        <w:tblStyle w:val="7"/>
        <w:tblW w:type="auto" w:w="0"/>
        <w:tblLook w:firstColumn="1" w:firstRow="1" w:lastColumn="0" w:lastRow="0" w:noHBand="0" w:noVBand="1" w:val="04A0"/>
      </w:tblPr>
      <w:tblGrid>
        <w:gridCol w:w="1661"/>
        <w:gridCol w:w="1661"/>
        <w:gridCol w:w="1661"/>
        <w:gridCol w:w="1661"/>
        <w:gridCol w:w="1661"/>
      </w:tblGrid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指标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整数规划组合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最大夏普比率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最小方差组合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等权重组合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年化收益率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0.07%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-4.86%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1.94%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13.68%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年化波动率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10.80%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11.95%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11.00%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15.20%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夏普比率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-0.1320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-0.5319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0.0401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0.8017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最大回撤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-8.62%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-10.75%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-8.32%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-7.80%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Calmar比率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0.0086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-0.4516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0.2332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1.7536</w:t>
            </w:r>
          </w:p>
        </w:tc>
      </w:tr>
    </w:tbl>
    <w:p>
      <w:pPr>
        <w:jc w:val="center"/>
      </w:pPr>
      <w:r>
        <w:rPr>
          <w:rFonts w:ascii="宋体" w:hAnsi="宋体" w:eastAsia="宋体"/>
          <w:b w:val="0"/>
          <w:sz w:val="20"/>
        </w:rPr>
        <w:t>表4  回测期各组合绩效指标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回测结果来看，等权重组合表现最好，年化收益率为13.68%，夏普比率达到0.80，最大回撤仅-7.80%，Calmar比率为1.75。而样本内表现最优的最大夏普比率组合在回测期反而亏损（-4.86%），说明过度集中于单一股票存在风险。整数规划组合收益接近持平（0.07%），最小方差组合小幅盈利（1.94%）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2. 动态回撤分析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210000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7_动态回撤曲线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10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图7  各投资组合动态回撤曲线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从动态回撤曲线来看，各组合在2025年下半年都经历了较大的回撤。等权重组合由于分散化程度最高，回撤恢复能力最强。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3. 盈亏分析</w:t>
      </w:r>
    </w:p>
    <w:tbl>
      <w:tblPr>
        <w:tblStyle w:val="7"/>
        <w:tblW w:type="auto" w:w="0"/>
        <w:tblLook w:firstColumn="1" w:firstRow="1" w:lastColumn="0" w:lastRow="0" w:noHBand="0" w:noVBand="1" w:val="04A0"/>
      </w:tblPr>
      <w:tblGrid>
        <w:gridCol w:w="1661"/>
        <w:gridCol w:w="1661"/>
        <w:gridCol w:w="1661"/>
        <w:gridCol w:w="1661"/>
        <w:gridCol w:w="1661"/>
      </w:tblGrid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指标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整数规划组合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最大夏普比率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最小方差组合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b/>
                <w:sz w:val="20"/>
              </w:rPr>
              <w:t>等权重组合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盈利天数占比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50.21%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46.09%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50.62%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53.91%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平均盈利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0.4972%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0.5938%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0.5086%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0.6772%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平均亏损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0.5007%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0.5434%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0.5057%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0.6742%</w:t>
            </w:r>
          </w:p>
        </w:tc>
      </w:tr>
      <w:tr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盈亏比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0.9930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1.0927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1.0057</w:t>
            </w:r>
          </w:p>
        </w:tc>
        <w:tc>
          <w:tcPr>
            <w:tcW w:type="dxa" w:w="1661"/>
          </w:tcPr>
          <w:p>
            <w:pPr>
              <w:jc w:val="center"/>
            </w:pPr>
            <w:r>
              <w:rPr>
                <w:rFonts w:ascii="宋体" w:hAnsi="宋体" w:eastAsia="宋体"/>
                <w:sz w:val="20"/>
              </w:rPr>
              <w:t>1.0044</w:t>
            </w:r>
          </w:p>
        </w:tc>
      </w:tr>
    </w:tbl>
    <w:p>
      <w:pPr>
        <w:jc w:val="center"/>
      </w:pPr>
      <w:r>
        <w:rPr>
          <w:rFonts w:ascii="宋体" w:hAnsi="宋体" w:eastAsia="宋体"/>
          <w:b w:val="0"/>
          <w:sz w:val="20"/>
        </w:rPr>
        <w:t>表5  各组合盈亏分析指标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等权重组合的盈利天数占比最高（53.91%），且平均盈利略高于平均亏损，盈亏比约1.00。最大夏普比率组合虽然盈亏比最高（1.09），但盈利天数占比最低（46.09%），导致整体表现不佳。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4. 盈亏分布可视化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360000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8_收益率分布直方图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60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图8  各组合日收益率直方图与核密度曲线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从日收益率分布来看，各组合均呈现轻微左偏的特征。等权重组合的峰度最高（6.94），说明存在较多极端收益日。整数规划组合和最小方差组合的分布相对集中，波动率较低。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040000" cy="360000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图9_月度箱线图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600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宋体" w:hAnsi="宋体" w:eastAsia="宋体"/>
          <w:b w:val="0"/>
          <w:sz w:val="20"/>
        </w:rPr>
        <w:t>图9  各组合按月分组日收益率箱线图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月度箱线图反映了各组合在不同月份的收益波动情况。可以观察到2025年下半年（8-10月）各组合波动明显加大，与同期市场环境变化一致。</w:t>
      </w:r>
    </w:p>
    <w:p w14:paraId="5DDA48EA">
      <w:pPr>
        <w:jc w:val="left"/>
        <w:rPr>
          <w:b/>
          <w:sz w:val="28"/>
        </w:rPr>
      </w:pPr>
      <w:r>
        <w:rPr>
          <w:rFonts w:hint="eastAsia"/>
          <w:b/>
          <w:sz w:val="28"/>
        </w:rPr>
        <w:t>四、总结与思考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1、三因子回归选股的逻辑与结果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本实验基于Fama-French三因子模型对10只候选股票进行回归分析，选取alpha值最大的5只股票。alpha代表股票在控制市场、规模和价值因子后的超额收益能力。最终选出比亚迪、中国平安、长江电力、美的集团和恒瑞医药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从因子暴露特征来看：长江电力的市场beta最低（0.49），属于典型的防御型低波动股票，HML系数为正（0.30），偏价值风格；比亚迪的HML系数为负（-0.35），偏成长风格；中国平安的MKT系数最高（1.32），对市场波动最为敏感，SMB为负说明偏大盘风格。这5只股票在因子暴露上具有一定的差异性，有利于组合的分散化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2、整数规划与Markowitz优化结果的差异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整数规划组合受到整数约束（每只至少20手）和beta约束（&lt;=1）的双重限制，最终形成了以长江电力为主（73.92%）的高度集中配置。Markowitz最大夏普比率组合同样高度集中于长江电力（98.76%），两者方向一致但程度不同。而Markowitz最小方差组合更加均衡，体现了分散化思想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在实际回测中，过度集中于长江电力的组合（整数规划和最大夏普比率）表现不如等权重组合，说明样本内的最优配置不一定在样本外同样有效。这提醒我们过度优化可能带来过拟合风险。</w:t>
      </w:r>
    </w:p>
    <w:p>
      <w:pPr>
        <w:spacing w:after="120" w:line="440" w:lineRule="exact"/>
        <w:jc w:val="left"/>
      </w:pPr>
      <w:r>
        <w:rPr>
          <w:rFonts w:ascii="宋体" w:hAnsi="宋体" w:eastAsia="宋体"/>
          <w:b/>
          <w:sz w:val="24"/>
        </w:rPr>
        <w:t>3、回测中哪个组合表现最好？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等权重组合在2025年回测中表现最好，年化收益率13.68%，夏普比率0.80，最大回撤仅-7.80%。这与样本内预期不一致，因为样本内最大夏普比率组合的夏普比率（0.59）远高于等权重组合（0.15）。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可能的原因包括：（1）过拟合问题：基于历史数据优化的组合权重对训练期数据拟合过好，难以泛化到未来市场；（2）市场状态变化：2025年市场风格可能与2022-2024年有所不同，之前表现突出的长江电力可能不再是最优选择；（3）分散化优势：等权重组合天然具备分散化特性，在市场风格轮动时更加稳健，不依赖于对某只股票的预测。</w:t>
      </w:r>
    </w:p>
    <w:p w14:paraId="5F91290A">
      <w:pPr>
        <w:jc w:val="left"/>
        <w:rPr>
          <w:rFonts w:hint="eastAsia"/>
          <w:b/>
          <w:sz w:val="28"/>
        </w:rPr>
      </w:pPr>
      <w:r>
        <w:rPr>
          <w:rFonts w:hint="eastAsia"/>
          <w:b/>
          <w:sz w:val="28"/>
        </w:rPr>
        <w:t>五、课程学习收获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通过本次实验，我有以下几点学习收获：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第一，学会了使用Python进行金融数据分析的完整流程。从Tushare数据采集、pandas数据清洗，到statsmodels回归建模、scipy优化求解，再到matplotlib可视化，掌握了一套从数据到结论的分析方法。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第二，对资产定价模型有了更深入的理解。通过实际操作CAPM和Fama-French三因子模型，理解了alpha和beta的经济含义，以及市场因子、规模因子、价值因子对股票收益率的解释能力。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第三，体会到了理论与实践之间的差距。Markowitz模型在理论上是最优的，但在实际回测中表现不如简单的等权重组合，这让我认识到模型假设的局限性和过拟合问题的重要性。</w:t>
      </w:r>
    </w:p>
    <w:p>
      <w:pPr>
        <w:spacing w:after="120" w:line="440" w:lineRule="exact"/>
        <w:ind w:firstLine="420"/>
        <w:jc w:val="left"/>
      </w:pPr>
      <w:r>
        <w:rPr>
          <w:rFonts w:ascii="宋体" w:hAnsi="宋体" w:eastAsia="宋体"/>
          <w:b w:val="0"/>
          <w:sz w:val="24"/>
        </w:rPr>
        <w:t>第四，理解了投资组合中分散化的价值。等权重组合虽然没有任何优化，但在实际回测中表现最为稳健，说明在不确定的市场环境中，分散化可能比精确优化更加重要。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KaTeX_Math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67249774"/>
      <w:docPartObj>
        <w:docPartGallery w:val="AutoText"/>
      </w:docPartObj>
    </w:sdtPr>
    <w:sdtContent>
      <w:p w14:paraId="1DE2D745"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9C2FAF6"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EAB29A4"/>
    <w:multiLevelType w:val="multilevel"/>
    <w:tmpl w:val="4EAB29A4"/>
    <w:lvl w:ilvl="0" w:tentative="0">
      <w:start w:val="1"/>
      <w:numFmt w:val="bullet"/>
      <w:lvlText w:val="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AF2"/>
    <w:rsid w:val="000079D1"/>
    <w:rsid w:val="000140E7"/>
    <w:rsid w:val="000141E8"/>
    <w:rsid w:val="0002342A"/>
    <w:rsid w:val="00030475"/>
    <w:rsid w:val="00040646"/>
    <w:rsid w:val="000413A3"/>
    <w:rsid w:val="00043588"/>
    <w:rsid w:val="0008636B"/>
    <w:rsid w:val="000906CD"/>
    <w:rsid w:val="000B55A8"/>
    <w:rsid w:val="000C38EA"/>
    <w:rsid w:val="000C6B27"/>
    <w:rsid w:val="000D4CAD"/>
    <w:rsid w:val="000D598D"/>
    <w:rsid w:val="000F1B24"/>
    <w:rsid w:val="00102933"/>
    <w:rsid w:val="001171A1"/>
    <w:rsid w:val="00125AF2"/>
    <w:rsid w:val="00153524"/>
    <w:rsid w:val="001641F0"/>
    <w:rsid w:val="00182A44"/>
    <w:rsid w:val="00182A81"/>
    <w:rsid w:val="001922BF"/>
    <w:rsid w:val="001D73C6"/>
    <w:rsid w:val="002153DD"/>
    <w:rsid w:val="00225254"/>
    <w:rsid w:val="00225A30"/>
    <w:rsid w:val="00234564"/>
    <w:rsid w:val="00263997"/>
    <w:rsid w:val="0026732A"/>
    <w:rsid w:val="00281C20"/>
    <w:rsid w:val="00283A3A"/>
    <w:rsid w:val="00290FB2"/>
    <w:rsid w:val="002B47AA"/>
    <w:rsid w:val="002F0A16"/>
    <w:rsid w:val="002F51F6"/>
    <w:rsid w:val="002F72A3"/>
    <w:rsid w:val="003348EB"/>
    <w:rsid w:val="003354F6"/>
    <w:rsid w:val="00352830"/>
    <w:rsid w:val="00357C7C"/>
    <w:rsid w:val="003661C2"/>
    <w:rsid w:val="003663BE"/>
    <w:rsid w:val="00381821"/>
    <w:rsid w:val="003853C7"/>
    <w:rsid w:val="003A03E3"/>
    <w:rsid w:val="003A634F"/>
    <w:rsid w:val="003B3428"/>
    <w:rsid w:val="003B5691"/>
    <w:rsid w:val="003E0C8E"/>
    <w:rsid w:val="00401C58"/>
    <w:rsid w:val="004325FC"/>
    <w:rsid w:val="00437628"/>
    <w:rsid w:val="004725ED"/>
    <w:rsid w:val="00483187"/>
    <w:rsid w:val="004B7A4A"/>
    <w:rsid w:val="004B7C86"/>
    <w:rsid w:val="004C66E6"/>
    <w:rsid w:val="004C72AB"/>
    <w:rsid w:val="004D3780"/>
    <w:rsid w:val="004D4DA3"/>
    <w:rsid w:val="004E56DD"/>
    <w:rsid w:val="0051014E"/>
    <w:rsid w:val="00512F63"/>
    <w:rsid w:val="00517F78"/>
    <w:rsid w:val="005410D7"/>
    <w:rsid w:val="005449AB"/>
    <w:rsid w:val="0058031C"/>
    <w:rsid w:val="0058235E"/>
    <w:rsid w:val="005825DC"/>
    <w:rsid w:val="00583363"/>
    <w:rsid w:val="00587C89"/>
    <w:rsid w:val="0059434C"/>
    <w:rsid w:val="005A5F8D"/>
    <w:rsid w:val="005A757B"/>
    <w:rsid w:val="005C5268"/>
    <w:rsid w:val="005E3454"/>
    <w:rsid w:val="00602C5E"/>
    <w:rsid w:val="00614007"/>
    <w:rsid w:val="00622C30"/>
    <w:rsid w:val="00636161"/>
    <w:rsid w:val="00686E28"/>
    <w:rsid w:val="006B0A12"/>
    <w:rsid w:val="006C487E"/>
    <w:rsid w:val="006D580E"/>
    <w:rsid w:val="006D7C2E"/>
    <w:rsid w:val="00701E2D"/>
    <w:rsid w:val="00703778"/>
    <w:rsid w:val="0074535E"/>
    <w:rsid w:val="00751F91"/>
    <w:rsid w:val="007A781F"/>
    <w:rsid w:val="007A7A86"/>
    <w:rsid w:val="007B060F"/>
    <w:rsid w:val="007C331A"/>
    <w:rsid w:val="007C336F"/>
    <w:rsid w:val="007C73AA"/>
    <w:rsid w:val="007E1532"/>
    <w:rsid w:val="007E3C74"/>
    <w:rsid w:val="00800B92"/>
    <w:rsid w:val="0082661A"/>
    <w:rsid w:val="008652F0"/>
    <w:rsid w:val="00872C8F"/>
    <w:rsid w:val="008737D4"/>
    <w:rsid w:val="00875379"/>
    <w:rsid w:val="008B520E"/>
    <w:rsid w:val="008B5BC7"/>
    <w:rsid w:val="008C05E0"/>
    <w:rsid w:val="008C1B3F"/>
    <w:rsid w:val="008C6AE7"/>
    <w:rsid w:val="008E2748"/>
    <w:rsid w:val="00904DA5"/>
    <w:rsid w:val="00943312"/>
    <w:rsid w:val="00962E15"/>
    <w:rsid w:val="00970588"/>
    <w:rsid w:val="00981D5B"/>
    <w:rsid w:val="00987D3E"/>
    <w:rsid w:val="009940CC"/>
    <w:rsid w:val="00997FAF"/>
    <w:rsid w:val="009E31B8"/>
    <w:rsid w:val="009E72A8"/>
    <w:rsid w:val="009F0A13"/>
    <w:rsid w:val="00A055C4"/>
    <w:rsid w:val="00A156BD"/>
    <w:rsid w:val="00A33399"/>
    <w:rsid w:val="00A33ECB"/>
    <w:rsid w:val="00A36BE9"/>
    <w:rsid w:val="00A42527"/>
    <w:rsid w:val="00A46DC3"/>
    <w:rsid w:val="00A50400"/>
    <w:rsid w:val="00A54758"/>
    <w:rsid w:val="00A64843"/>
    <w:rsid w:val="00A71BFB"/>
    <w:rsid w:val="00A71E82"/>
    <w:rsid w:val="00A74E16"/>
    <w:rsid w:val="00A86BAD"/>
    <w:rsid w:val="00A97B30"/>
    <w:rsid w:val="00AB2017"/>
    <w:rsid w:val="00AB6DCD"/>
    <w:rsid w:val="00AC310D"/>
    <w:rsid w:val="00AD49E9"/>
    <w:rsid w:val="00AE403E"/>
    <w:rsid w:val="00B10FD5"/>
    <w:rsid w:val="00B162C3"/>
    <w:rsid w:val="00B21F7F"/>
    <w:rsid w:val="00B32E0E"/>
    <w:rsid w:val="00B36514"/>
    <w:rsid w:val="00B40206"/>
    <w:rsid w:val="00B403AC"/>
    <w:rsid w:val="00B40B9C"/>
    <w:rsid w:val="00B73DDF"/>
    <w:rsid w:val="00B742A0"/>
    <w:rsid w:val="00BB4C43"/>
    <w:rsid w:val="00BC3314"/>
    <w:rsid w:val="00BC7CBF"/>
    <w:rsid w:val="00BD0FCA"/>
    <w:rsid w:val="00BE61B9"/>
    <w:rsid w:val="00C5466C"/>
    <w:rsid w:val="00C612F2"/>
    <w:rsid w:val="00C77631"/>
    <w:rsid w:val="00C82316"/>
    <w:rsid w:val="00CD393A"/>
    <w:rsid w:val="00CD3B31"/>
    <w:rsid w:val="00CD4631"/>
    <w:rsid w:val="00CD593E"/>
    <w:rsid w:val="00D10EA1"/>
    <w:rsid w:val="00D2061A"/>
    <w:rsid w:val="00D3749B"/>
    <w:rsid w:val="00D52DF1"/>
    <w:rsid w:val="00D87BD0"/>
    <w:rsid w:val="00D92B99"/>
    <w:rsid w:val="00D94183"/>
    <w:rsid w:val="00DC02C4"/>
    <w:rsid w:val="00E1648C"/>
    <w:rsid w:val="00E25279"/>
    <w:rsid w:val="00E262E2"/>
    <w:rsid w:val="00E34456"/>
    <w:rsid w:val="00E34D2F"/>
    <w:rsid w:val="00E50B96"/>
    <w:rsid w:val="00E56BA1"/>
    <w:rsid w:val="00E57225"/>
    <w:rsid w:val="00E57C1A"/>
    <w:rsid w:val="00E73F3F"/>
    <w:rsid w:val="00E758D1"/>
    <w:rsid w:val="00E95EB1"/>
    <w:rsid w:val="00EA6B3A"/>
    <w:rsid w:val="00EB3331"/>
    <w:rsid w:val="00EC31DD"/>
    <w:rsid w:val="00EC72F2"/>
    <w:rsid w:val="00EF159A"/>
    <w:rsid w:val="00EF4F58"/>
    <w:rsid w:val="00F05DA1"/>
    <w:rsid w:val="00F22F0E"/>
    <w:rsid w:val="00F35EEC"/>
    <w:rsid w:val="00F573A8"/>
    <w:rsid w:val="00F91A44"/>
    <w:rsid w:val="00F97F2D"/>
    <w:rsid w:val="00FD0E50"/>
    <w:rsid w:val="00FE741A"/>
    <w:rsid w:val="00FF1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link w:val="26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HTML Code"/>
    <w:basedOn w:val="8"/>
    <w:semiHidden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11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3"/>
    <w:qFormat/>
    <w:uiPriority w:val="99"/>
    <w:rPr>
      <w:sz w:val="18"/>
      <w:szCs w:val="18"/>
    </w:rPr>
  </w:style>
  <w:style w:type="character" w:customStyle="1" w:styleId="13">
    <w:name w:val="mord"/>
    <w:basedOn w:val="8"/>
    <w:qFormat/>
    <w:uiPriority w:val="0"/>
  </w:style>
  <w:style w:type="character" w:customStyle="1" w:styleId="14">
    <w:name w:val="vlist-s"/>
    <w:basedOn w:val="8"/>
    <w:qFormat/>
    <w:uiPriority w:val="0"/>
  </w:style>
  <w:style w:type="character" w:customStyle="1" w:styleId="15">
    <w:name w:val="mrel"/>
    <w:basedOn w:val="8"/>
    <w:qFormat/>
    <w:uiPriority w:val="0"/>
  </w:style>
  <w:style w:type="character" w:customStyle="1" w:styleId="16">
    <w:name w:val="mop"/>
    <w:basedOn w:val="8"/>
    <w:qFormat/>
    <w:uiPriority w:val="0"/>
  </w:style>
  <w:style w:type="character" w:customStyle="1" w:styleId="17">
    <w:name w:val="mopen"/>
    <w:basedOn w:val="8"/>
    <w:qFormat/>
    <w:uiPriority w:val="0"/>
  </w:style>
  <w:style w:type="character" w:customStyle="1" w:styleId="18">
    <w:name w:val="mclose"/>
    <w:basedOn w:val="8"/>
    <w:qFormat/>
    <w:uiPriority w:val="0"/>
  </w:style>
  <w:style w:type="character" w:customStyle="1" w:styleId="19">
    <w:name w:val="mbin"/>
    <w:basedOn w:val="8"/>
    <w:qFormat/>
    <w:uiPriority w:val="0"/>
  </w:style>
  <w:style w:type="character" w:customStyle="1" w:styleId="20">
    <w:name w:val="katex-mathml"/>
    <w:basedOn w:val="8"/>
    <w:qFormat/>
    <w:uiPriority w:val="0"/>
  </w:style>
  <w:style w:type="character" w:customStyle="1" w:styleId="21">
    <w:name w:val="delimsizing"/>
    <w:basedOn w:val="8"/>
    <w:qFormat/>
    <w:uiPriority w:val="0"/>
  </w:style>
  <w:style w:type="character" w:styleId="22">
    <w:name w:val="Placeholder Text"/>
    <w:basedOn w:val="8"/>
    <w:semiHidden/>
    <w:qFormat/>
    <w:uiPriority w:val="99"/>
    <w:rPr>
      <w:color w:val="808080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  <w:style w:type="character" w:customStyle="1" w:styleId="24">
    <w:name w:val="mpunct"/>
    <w:basedOn w:val="8"/>
    <w:qFormat/>
    <w:uiPriority w:val="0"/>
  </w:style>
  <w:style w:type="paragraph" w:customStyle="1" w:styleId="25">
    <w:name w:val="ds-markdown-paragraph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26">
    <w:name w:val="标题 3 字符"/>
    <w:basedOn w:val="8"/>
    <w:link w:val="2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</w:styles>
</file>

<file path=word/_rels/document.xml.rels><?xml version='1.0' encoding='UTF-8' standalone='yes'?>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796</Words>
  <Characters>933</Characters>
  <Lines>18</Lines>
  <Paragraphs>5</Paragraphs>
  <TotalTime>355</TotalTime>
  <ScaleCrop>false</ScaleCrop>
  <LinksUpToDate>false</LinksUpToDate>
  <CharactersWithSpaces>937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2026-04-08T02:46:00Z</dcterms:created>
  <dc:creator>Michelle</dc:creator>
  <cp:lastModifiedBy>WPS_1695359204</cp:lastModifiedBy>
  <dcterms:modified xsi:type="dcterms:W3CDTF">2026-04-16T05:38:03Z</dcterms:modified>
  <cp:revision>65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eyJoZGlkIjoiNGZmMDM1ZGNjNzVjNmZlYWU2NDQwN2EyOWQ2MjAzM2UiLCJ1c2VySWQiOiIxNTM2MzM4MzEzIn0=</vt:lpwstr>
  </property>
  <property fmtid="{D5CDD505-2E9C-101B-9397-08002B2CF9AE}" pid="3" name="KSOProductBuildVer">
    <vt:lpwstr>2052-12.1.0.25865</vt:lpwstr>
  </property>
  <property fmtid="{D5CDD505-2E9C-101B-9397-08002B2CF9AE}" pid="4" name="ICV">
    <vt:lpwstr>BEFBBFEC7F7A46268E9EDBC9E11E44DB_13</vt:lpwstr>
  </property>
</Properties>
</file>