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b/>
          <w:sz w:val="28"/>
          <w:rFonts w:eastAsia="黑体" w:ascii="Times New Roman" w:hAnsi="Times New Roman"/>
        </w:rPr>
        <w:t>5.1  整体指标对比</w:t>
      </w:r>
    </w:p>
    <w:p>
      <w:pPr>
        <w:spacing w:before="240" w:after="120"/>
      </w:pPr>
      <w:r>
        <w:rPr>
          <w:b/>
          <w:sz w:val="20"/>
          <w:rFonts w:eastAsia="黑体" w:ascii="Times New Roman" w:hAnsi="Times New Roman"/>
        </w:rPr>
        <w:t>对比方法介绍（补充）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为确保 Item-CF、GRU4Rec 与本文提出的 SASRec+MLP 三个模型之间的对比公平、可信, 本节在数据划分、评估指标、随机种子以及关键超参数等方面均采取统一的处理策略, 仅保留各模型自身在网络结构与建模方式上的差异。具体方法如下。</w:t>
      </w:r>
    </w:p>
    <w:p>
      <w:pPr>
        <w:spacing w:before="120" w:after="40"/>
      </w:pPr>
      <w:r>
        <w:rPr>
          <w:b/>
          <w:sz w:val="21"/>
          <w:rFonts w:eastAsia="黑体" w:ascii="Times New Roman" w:hAnsi="Times New Roman"/>
        </w:rPr>
        <w:t>（1）测试集构造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本文采用序列推荐领域常用的 leave-one-out (留一法) 策略构造测试样本: 对每位有效用户, 以其行为序列中最后一条交互记录作为测试目标 target_u, 其余 n − 1 条交互作为模型的训练输入。该划分严格按时间顺序进行, 不存在测试样本泄漏至训练集的情况。考虑到全量评估在 2.9 万用户规模下耗时过长, 实际从测试用户中随机抽取 500 名计算指标; 抽样使用统一的随机种子 (random_seed = 42), 三个模型评估时所用的用户集合完全相同。</w:t>
      </w:r>
    </w:p>
    <w:p>
      <w:pPr>
        <w:spacing w:before="120" w:after="40"/>
      </w:pPr>
      <w:r>
        <w:rPr>
          <w:b/>
          <w:sz w:val="21"/>
          <w:rFonts w:eastAsia="黑体" w:ascii="Times New Roman" w:hAnsi="Times New Roman"/>
        </w:rPr>
        <w:t>（2）评估指标定义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本文选取序列推荐任务的标准指标 Recall@K 与 NDCG@K, 取 K = 10。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Recall@K 反映模型 Top-K 列表是否成功命中目标商品, 衡量模型的召回能力, 计算公式为:</w:t>
      </w:r>
    </w:p>
    <w:p>
      <w:pPr>
        <w:spacing w:before="80" w:after="80"/>
        <w:jc w:val="center"/>
      </w:pPr>
      <w:r>
        <w:rPr>
          <w:b w:val="0"/>
          <w:sz w:val="21"/>
          <w:rFonts w:eastAsia="宋体" w:ascii="Times New Roman" w:hAnsi="Times New Roman"/>
        </w:rPr>
        <w:t>Recall@K = (1 / |U|) × Σ 1[ target_u ∈ TopK_u ]    (5-1)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NDCG@K 在命中基础上进一步考量目标商品的排名位置, 排名越靠前得分越高:</w:t>
      </w:r>
    </w:p>
    <w:p>
      <w:pPr>
        <w:spacing w:before="80" w:after="80"/>
        <w:jc w:val="center"/>
      </w:pPr>
      <w:r>
        <w:rPr>
          <w:b w:val="0"/>
          <w:sz w:val="21"/>
          <w:rFonts w:eastAsia="宋体" w:ascii="Times New Roman" w:hAnsi="Times New Roman"/>
        </w:rPr>
        <w:t>NDCG@K = (1 / |U|) × Σ ( 1[hit] / log₂(rank_u + 1) )    (5-2)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式中 |U| 为评估用户数, target_u 与 rank_u 分别表示用户 u 的测试目标商品及其在 Top-K 推荐列表中的位置。Recall@10 衡量召回, NDCG@10 兼顾命中与排序质量, 两者互补反映模型表现。</w:t>
      </w:r>
    </w:p>
    <w:p>
      <w:pPr>
        <w:spacing w:before="120" w:after="40"/>
      </w:pPr>
      <w:r>
        <w:rPr>
          <w:b/>
          <w:sz w:val="21"/>
          <w:rFonts w:eastAsia="黑体" w:ascii="Times New Roman" w:hAnsi="Times New Roman"/>
        </w:rPr>
        <w:t>（3）统一的预测过滤规则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三个模型在生成 Top-K 推荐列表前, 均对候选商品执行相同的屏蔽规则: 一是屏蔽 padding 占位符 (item_id = 0), 防止其因未充分训练而产生异常打分; 二是屏蔽用户训练序列中已经交互过的商品, 避免将“再次推荐已购买商品”计入命中。统一的过滤规则保证了三种模型面向同一有效候选空间进行打分, 排除了因候选集不同带来的指标偏差。</w:t>
      </w:r>
    </w:p>
    <w:p>
      <w:pPr>
        <w:spacing w:before="120" w:after="40"/>
      </w:pPr>
      <w:r>
        <w:rPr>
          <w:b/>
          <w:sz w:val="21"/>
          <w:rFonts w:eastAsia="黑体" w:ascii="Times New Roman" w:hAnsi="Times New Roman"/>
        </w:rPr>
        <w:t>（4）各模型设置与训练协议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三个模型的关键设置与训练协议如表 5.2 所示。其中 Item-CF 为无参基线, 不需要梯度训练; GRU4Rec 与 SASRec+MLP 共用 batch_size、学习率与优化器, 仅在网络结构和商品属性融合方式上不同。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5.2  三种对比模型的关键设置与训练协议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设置项</w:t>
            </w:r>
          </w:p>
        </w:tc>
        <w:tc>
          <w:tcPr>
            <w:tcW w:type="dxa" w:w="170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Item-CF</w:t>
            </w:r>
          </w:p>
        </w:tc>
        <w:tc>
          <w:tcPr>
            <w:tcW w:type="dxa" w:w="1984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GRU4Rec</w:t>
            </w:r>
          </w:p>
        </w:tc>
        <w:tc>
          <w:tcPr>
            <w:tcW w:type="dxa" w:w="3118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SASRec+MLP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 Embedding 维度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64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128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序列上下文长度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 (近邻商品)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核心结构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共现矩阵 + 余弦相似度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GRU 单层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Self-Attention × 2 + ItemAttrMLP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商品属性融合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无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无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cate / brand / a1-a3 / comment_num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训练目标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全量 Softmax 交叉熵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全量 Softmax 交叉熵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优化器 / 学习率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Adam / 0.001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Adam / 0.001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batch_size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256</w:t>
            </w:r>
          </w:p>
        </w:tc>
        <w:tc>
          <w:tcPr>
            <w:tcW w:type="dxa" w:w="311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256</w:t>
            </w:r>
          </w:p>
        </w:tc>
      </w:tr>
      <w:tr>
        <w:tc>
          <w:tcPr>
            <w:tcW w:type="dxa" w:w="2268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训练轮数 (epoch)</w:t>
            </w:r>
          </w:p>
        </w:tc>
        <w:tc>
          <w:tcPr>
            <w:tcW w:type="dxa" w:w="170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984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</w:t>
            </w:r>
          </w:p>
        </w:tc>
        <w:tc>
          <w:tcPr>
            <w:tcW w:type="dxa" w:w="3118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15</w:t>
            </w:r>
          </w:p>
        </w:tc>
      </w:tr>
    </w:tbl>
    <w:p/>
    <w:p>
      <w:pPr>
        <w:spacing w:before="120" w:after="40"/>
      </w:pPr>
      <w:r>
        <w:rPr>
          <w:b/>
          <w:sz w:val="21"/>
          <w:rFonts w:eastAsia="黑体" w:ascii="Times New Roman" w:hAnsi="Times New Roman"/>
        </w:rPr>
        <w:t>（5）公平性保障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综上, 三种模型在训练 / 测试切分、评估抽样集合、TopK 取值、序列最大长度、padding 与已交互商品的屏蔽规则以及全部随机性种子上完全一致。这些条件确保了 Recall@10 与 NDCG@10 上的性能差距来源于模型结构本身, 而非数据划分或超参选择上的偶然差异, 后续整体对比结果与冷启动分组分析具有较高的可信度。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