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80"/>
      </w:pPr>
    </w:p>
    <w:p>
      <w:pPr>
        <w:jc w:val="center"/>
      </w:pPr>
      <w:r>
        <w:rPr>
          <w:rFonts w:ascii="SimSun" w:cs="SimSun" w:eastAsia="SimSun" w:hAnsi="SimSun"/>
          <w:b/>
          <w:bCs/>
          <w:sz w:val="32"/>
          <w:szCs w:val="32"/>
        </w:rPr>
        <w:t xml:space="preserve">《大数据基础与应用》课程期末报告</w:t>
      </w:r>
    </w:p>
    <w:p>
      <w:pPr>
        <w:spacing w:before="480"/>
      </w:pPr>
    </w:p>
    <w:p>
      <w:pPr>
        <w:jc w:val="center"/>
      </w:pPr>
      <w:r>
        <w:rPr>
          <w:rFonts w:ascii="SimSun" w:cs="SimSun" w:eastAsia="SimSun" w:hAnsi="SimSun"/>
          <w:sz w:val="28"/>
          <w:szCs w:val="28"/>
        </w:rPr>
        <w:t xml:space="preserve">基于Cobb-Douglas函数的日本生产函数实证分析</w:t>
      </w:r>
    </w:p>
    <w:p>
      <w:pPr>
        <w:jc w:val="center"/>
      </w:pPr>
      <w:r>
        <w:rPr>
          <w:rFonts w:ascii="SimSun" w:cs="SimSun" w:eastAsia="SimSun" w:hAnsi="SimSun"/>
          <w:sz w:val="24"/>
          <w:szCs w:val="24"/>
        </w:rPr>
        <w:t xml:space="preserve">（1990—2022年）</w:t>
      </w:r>
    </w:p>
    <w:p>
      <w:pPr>
        <w:spacing w:before="1440"/>
      </w:pPr>
    </w:p>
    <w:p>
      <w:pPr>
        <w:spacing w:before="240"/>
        <w:jc w:val="center"/>
      </w:pPr>
      <w:r>
        <w:rPr>
          <w:sz w:val="28"/>
          <w:szCs w:val="28"/>
        </w:rPr>
        <w:t xml:space="preserve">姓        名：_______________</w:t>
      </w:r>
    </w:p>
    <w:p>
      <w:pPr>
        <w:spacing w:before="240"/>
        <w:jc w:val="center"/>
      </w:pPr>
      <w:r>
        <w:rPr>
          <w:sz w:val="28"/>
          <w:szCs w:val="28"/>
        </w:rPr>
        <w:t xml:space="preserve">学        号：_______________</w:t>
      </w:r>
    </w:p>
    <w:p>
      <w:pPr>
        <w:spacing w:before="240"/>
        <w:jc w:val="center"/>
      </w:pPr>
      <w:r>
        <w:rPr>
          <w:sz w:val="28"/>
          <w:szCs w:val="28"/>
        </w:rPr>
        <w:t xml:space="preserve">班        级：_______________</w:t>
      </w:r>
    </w:p>
    <w:p>
      <w:pPr>
        <w:spacing w:before="240"/>
        <w:jc w:val="center"/>
      </w:pPr>
      <w:r>
        <w:rPr>
          <w:sz w:val="28"/>
          <w:szCs w:val="28"/>
        </w:rPr>
        <w:t xml:space="preserve">日        期：2026年  月  日</w:t>
      </w:r>
    </w:p>
    <w:p>
      <w:r>
        <w:br w:type="page"/>
      </w:r>
    </w:p>
    <w:p>
      <w:pPr>
        <w:pStyle w:val="Heading1"/>
      </w:pPr>
      <w:r>
        <w:rPr>
          <w:rFonts w:ascii="SimSun" w:cs="SimSun" w:eastAsia="SimSun" w:hAnsi="SimSun"/>
          <w:b/>
          <w:bCs/>
        </w:rPr>
        <w:t xml:space="preserve">摘 要</w:t>
      </w:r>
    </w:p>
    <w:p>
      <w:pPr>
        <w:spacing w:line="360"/>
        <w:ind w:firstLine="480"/>
      </w:pPr>
      <w:r>
        <w:rPr>
          <w:rFonts w:ascii="SimSun" w:cs="SimSun" w:eastAsia="SimSun" w:hAnsi="SimSun"/>
          <w:sz w:val="24"/>
          <w:szCs w:val="24"/>
        </w:rPr>
        <w:t xml:space="preserve">本文以世界银行（World Bank）公开统计数据为基础，选取日本1990—2022年共33年的实际GDP、资本形成总额与劳动力投入数据，系统构建并比较CD2、CD3、CD4三种不同设定的Cobb-Douglas生产函数模型。借助Python科学计算生态（NumPy/SciPy/Matplotlib），采用非线性最小二乘法（curve_fit）配合随机多初值策略对参数进行稳健估计，并以决定系数R²、调整R²及残差分布作为评价依据。实证结果显示：仅含资本与劳动两要素的基准CD2模型R²仅为0.4668，难以解释日本GDP的长期演变；引入线性时间趋势的CD3模型R²提升至0.9149；进一步引入二次时间趋势的CD4模型拟合优度最高，R²=0.9807、调整R²=0.9771，资本产出弹性α=0.3711、劳动产出弹性β=−0.3578，两者之和约为零，接近规模报酬不变。研究发现日本劳动产出弹性为负，深刻反映了其在人口老龄化、劳动力增长停滞（年均仅0.22%）背景下劳动要素边际贡献趋于下降的结构性特征，经济增长更多依赖资本深化与全要素生产率的非线性技术进步。本文展示了Cobb-Douglas函数结合大数据工具在宏观经济实证分析中的应用价值。</w:t>
      </w:r>
    </w:p>
    <w:p>
      <w:pPr>
        <w:spacing w:before="240" w:line="360"/>
      </w:pPr>
      <w:r>
        <w:rPr>
          <w:rFonts w:ascii="SimSun" w:cs="SimSun" w:eastAsia="SimSun" w:hAnsi="SimSun"/>
          <w:b/>
          <w:bCs/>
          <w:sz w:val="24"/>
          <w:szCs w:val="24"/>
        </w:rPr>
        <w:t xml:space="preserve">关键词：Cobb-Douglas生产函数；要素产出弹性；规模报酬；非线性最小二乘；全要素生产率；日本经济</w:t>
      </w:r>
    </w:p>
    <w:p>
      <w:pPr>
        <w:pStyle w:val="Heading1"/>
      </w:pPr>
      <w:r>
        <w:rPr>
          <w:rFonts w:ascii="SimSun" w:cs="SimSun" w:eastAsia="SimSun" w:hAnsi="SimSun"/>
          <w:b/>
          <w:bCs/>
        </w:rPr>
        <w:t xml:space="preserve">一、引言</w:t>
      </w:r>
    </w:p>
    <w:p>
      <w:pPr>
        <w:pStyle w:val="Heading2"/>
      </w:pPr>
      <w:r>
        <w:rPr>
          <w:rFonts w:ascii="SimSun" w:cs="SimSun" w:eastAsia="SimSun" w:hAnsi="SimSun"/>
          <w:b/>
          <w:bCs/>
        </w:rPr>
        <w:t xml:space="preserve">1.1 研究背景</w:t>
      </w:r>
    </w:p>
    <w:p>
      <w:pPr>
        <w:spacing w:line="360"/>
        <w:ind w:firstLine="480"/>
      </w:pPr>
      <w:r>
        <w:rPr>
          <w:rFonts w:ascii="SimSun" w:cs="SimSun" w:eastAsia="SimSun" w:hAnsi="SimSun"/>
          <w:sz w:val="24"/>
          <w:szCs w:val="24"/>
        </w:rPr>
        <w:t xml:space="preserve">生产函数刻画了一定技术水平下要素投入与最大产出之间的数量关系，是宏观经济学与增长理论的核心分析工具。自Cobb与Douglas于1928年提出以幂函数形式表达的生产函数以来，Cobb-Douglas函数因其形式简洁、参数具有明确经济含义（产出弹性）、便于对数线性化估计等优点，成为研究经济增长、要素贡献与技术进步最常用的模型之一。</w:t>
      </w:r>
    </w:p>
    <w:p>
      <w:pPr>
        <w:spacing w:line="360"/>
        <w:ind w:firstLine="480"/>
      </w:pPr>
      <w:r>
        <w:rPr>
          <w:rFonts w:ascii="SimSun" w:cs="SimSun" w:eastAsia="SimSun" w:hAnsi="SimSun"/>
          <w:sz w:val="24"/>
          <w:szCs w:val="24"/>
        </w:rPr>
        <w:t xml:space="preserve">日本是世界第三大经济体，其经济发展轨迹具有典型研究价值。20世纪80年代末资产泡沫破裂后，日本经济陷入长期低速增长，被称为“失去的二十年”，并伴随严重的人口老龄化与劳动力萎缩。这一独特的宏观背景，为检验生产函数模型、识别要素贡献的结构性变化提供了理想样本。</w:t>
      </w:r>
    </w:p>
    <w:p>
      <w:pPr>
        <w:pStyle w:val="Heading2"/>
      </w:pPr>
      <w:r>
        <w:rPr>
          <w:rFonts w:ascii="SimSun" w:cs="SimSun" w:eastAsia="SimSun" w:hAnsi="SimSun"/>
          <w:b/>
          <w:bCs/>
        </w:rPr>
        <w:t xml:space="preserve">1.2 研究意义</w:t>
      </w:r>
    </w:p>
    <w:p>
      <w:pPr>
        <w:spacing w:line="360"/>
        <w:ind w:firstLine="480"/>
      </w:pPr>
      <w:r>
        <w:rPr>
          <w:rFonts w:ascii="SimSun" w:cs="SimSun" w:eastAsia="SimSun" w:hAnsi="SimSun"/>
          <w:sz w:val="24"/>
          <w:szCs w:val="24"/>
        </w:rPr>
        <w:t xml:space="preserve">理论意义上，通过对日本长周期数据的实证拟合，可以检验Cobb-Douglas函数在成熟经济体、低增长情境下的适用性，并考察引入时间趋势项对刻画技术进步的作用。实践意义上，对资本弹性、劳动弹性及规模报酬的估计，有助于理解日本经济增长的动力结构，为人口老龄化背景下的要素配置与产业政策提供经验参考。同时，本文以“真实数据获取—清洗—建模—可视化—解释”的完整流程，展示了大数据方法在经济分析中的落地路径。</w:t>
      </w:r>
    </w:p>
    <w:p>
      <w:pPr>
        <w:pStyle w:val="Heading2"/>
      </w:pPr>
      <w:r>
        <w:rPr>
          <w:rFonts w:ascii="SimSun" w:cs="SimSun" w:eastAsia="SimSun" w:hAnsi="SimSun"/>
          <w:b/>
          <w:bCs/>
        </w:rPr>
        <w:t xml:space="preserve">1.3 国内外研究现状</w:t>
      </w:r>
    </w:p>
    <w:p>
      <w:pPr>
        <w:spacing w:line="360"/>
        <w:ind w:firstLine="480"/>
      </w:pPr>
      <w:r>
        <w:rPr>
          <w:rFonts w:ascii="SimSun" w:cs="SimSun" w:eastAsia="SimSun" w:hAnsi="SimSun"/>
          <w:sz w:val="24"/>
          <w:szCs w:val="24"/>
        </w:rPr>
        <w:t xml:space="preserve">围绕Cobb-Douglas生产函数的研究大致沿三条主线展开：一是参数估计方法的改进，从早期的对数线性化最小二乘（OLS）发展到考虑内生性与非线性的多种估计策略；二是模型设定的扩展，通过引入时间趋势、人力资本、能源等变量以刻画技术进步与多要素贡献；三是全要素生产率（TFP）的测度，Solow（1957）提出的增长核算框架将产出增长分解为要素投入贡献与“索洛余值”。针对日本经济，已有大量文献关注其泡沫破裂后增长放缓、TFP增速下降与人口结构恶化之间的关联。本文在上述脉络下，采用含时间趋势的非线性Cobb-Douglas模型对日本要素弹性进行再估计。</w:t>
      </w:r>
    </w:p>
    <w:p>
      <w:pPr>
        <w:pStyle w:val="Heading2"/>
      </w:pPr>
      <w:r>
        <w:rPr>
          <w:rFonts w:ascii="SimSun" w:cs="SimSun" w:eastAsia="SimSun" w:hAnsi="SimSun"/>
          <w:b/>
          <w:bCs/>
        </w:rPr>
        <w:t xml:space="preserve">1.4 研究思路与技术路线</w:t>
      </w:r>
    </w:p>
    <w:p>
      <w:pPr>
        <w:spacing w:line="360"/>
        <w:ind w:firstLine="480"/>
      </w:pPr>
      <w:r>
        <w:rPr>
          <w:rFonts w:ascii="SimSun" w:cs="SimSun" w:eastAsia="SimSun" w:hAnsi="SimSun"/>
          <w:sz w:val="24"/>
          <w:szCs w:val="24"/>
        </w:rPr>
        <w:t xml:space="preserve">本文技术路线如下：（1）通过世界银行Open Data API获取日本1990—2022年GDP、资本形成总额与劳动力数据；（2）统一换算为2015年不变价美元并进行缺失值与口径核验；（3）构建CD2/CD3/CD4三类模型，使用SciPy的curve_fit以随机多初值进行非线性最小二乘估计；（4）以R²、调整R²与残差诊断比较模型优劣；（5）结合日本宏观经济史对结果进行经济学解释。全部分析基于Python科学计算栈实现，保证过程可复现。</w:t>
      </w:r>
    </w:p>
    <w:p>
      <w:pPr>
        <w:pStyle w:val="Heading1"/>
      </w:pPr>
      <w:r>
        <w:rPr>
          <w:rFonts w:ascii="SimSun" w:cs="SimSun" w:eastAsia="SimSun" w:hAnsi="SimSun"/>
          <w:b/>
          <w:bCs/>
        </w:rPr>
        <w:t xml:space="preserve">二、Cobb-Douglas生产函数理论基础</w:t>
      </w:r>
    </w:p>
    <w:p>
      <w:pPr>
        <w:pStyle w:val="Heading2"/>
      </w:pPr>
      <w:r>
        <w:rPr>
          <w:rFonts w:ascii="SimSun" w:cs="SimSun" w:eastAsia="SimSun" w:hAnsi="SimSun"/>
          <w:b/>
          <w:bCs/>
        </w:rPr>
        <w:t xml:space="preserve">2.1 基本模型（CD2）</w:t>
      </w:r>
    </w:p>
    <w:p>
      <w:pPr>
        <w:spacing w:line="360"/>
        <w:ind w:firstLine="480"/>
      </w:pPr>
      <w:r>
        <w:rPr>
          <w:rFonts w:ascii="SimSun" w:cs="SimSun" w:eastAsia="SimSun" w:hAnsi="SimSun"/>
          <w:sz w:val="24"/>
          <w:szCs w:val="24"/>
        </w:rPr>
        <w:t xml:space="preserve">标准Cobb-Douglas生产函数形式为：</w:t>
      </w:r>
    </w:p>
    <w:p>
      <w:pPr>
        <w:spacing w:after="120" w:before="120"/>
        <w:jc w:val="center"/>
      </w:pPr>
      <w:r>
        <w:rPr>
          <w:b/>
          <w:bCs/>
          <w:sz w:val="24"/>
          <w:szCs w:val="24"/>
        </w:rPr>
        <w:t xml:space="preserve">Y = A · K^α · L^β</w:t>
      </w:r>
    </w:p>
    <w:p>
      <w:pPr>
        <w:spacing w:line="360"/>
        <w:ind w:firstLine="480"/>
      </w:pPr>
      <w:r>
        <w:rPr>
          <w:rFonts w:ascii="SimSun" w:cs="SimSun" w:eastAsia="SimSun" w:hAnsi="SimSun"/>
          <w:sz w:val="24"/>
          <w:szCs w:val="24"/>
        </w:rPr>
        <w:t xml:space="preserve">其中Y为实际产出（GDP），K为资本投入，L为劳动投入，A&gt;0为综合技术水平（效率参数），α、β分别为资本与劳动的产出弹性。对两边取对数可得 lnY = lnA + α·lnK + β·lnL，从而可线性化估计。当α+β=1时函数为一阶齐次，表现为规模报酬不变（CRS）。</w:t>
      </w:r>
    </w:p>
    <w:p>
      <w:pPr>
        <w:pStyle w:val="Heading2"/>
      </w:pPr>
      <w:r>
        <w:rPr>
          <w:rFonts w:ascii="SimSun" w:cs="SimSun" w:eastAsia="SimSun" w:hAnsi="SimSun"/>
          <w:b/>
          <w:bCs/>
        </w:rPr>
        <w:t xml:space="preserve">2.2 含时间趋势的扩展模型（CD3、CD4）</w:t>
      </w:r>
    </w:p>
    <w:p>
      <w:pPr>
        <w:spacing w:line="360"/>
        <w:ind w:firstLine="480"/>
      </w:pPr>
      <w:r>
        <w:rPr>
          <w:rFonts w:ascii="SimSun" w:cs="SimSun" w:eastAsia="SimSun" w:hAnsi="SimSun"/>
          <w:sz w:val="24"/>
          <w:szCs w:val="24"/>
        </w:rPr>
        <w:t xml:space="preserve">为刻画不可直接观测的技术进步，将效率参数A设为时间的函数。引入经线性映射至[−1,1]区间的时间变量t，建立两类扩展模型：</w:t>
      </w:r>
    </w:p>
    <w:p>
      <w:pPr>
        <w:spacing w:after="120" w:before="120"/>
        <w:jc w:val="center"/>
      </w:pPr>
      <w:r>
        <w:rPr>
          <w:b w:val="false"/>
          <w:bCs w:val="false"/>
          <w:sz w:val="24"/>
          <w:szCs w:val="24"/>
        </w:rPr>
        <w:t xml:space="preserve">CD3:  Y = exp(g·t + c) · K^α · L^β</w:t>
      </w:r>
    </w:p>
    <w:p>
      <w:pPr>
        <w:spacing w:after="120" w:before="120"/>
        <w:jc w:val="center"/>
      </w:pPr>
      <w:r>
        <w:rPr>
          <w:b w:val="false"/>
          <w:bCs w:val="false"/>
          <w:sz w:val="24"/>
          <w:szCs w:val="24"/>
        </w:rPr>
        <w:t xml:space="preserve">CD4:  Y = exp(a·t² + b·t + c) · K^α · L^β</w:t>
      </w:r>
    </w:p>
    <w:p>
      <w:pPr>
        <w:spacing w:line="360"/>
        <w:ind w:firstLine="480"/>
      </w:pPr>
      <w:r>
        <w:rPr>
          <w:rFonts w:ascii="SimSun" w:cs="SimSun" w:eastAsia="SimSun" w:hAnsi="SimSun"/>
          <w:sz w:val="24"/>
          <w:szCs w:val="24"/>
        </w:rPr>
        <w:t xml:space="preserve">其中g、a、b刻画技术进步的速度与加速度。CD4的二次趋势项使模型能够捕捉技术进步先快后慢等非线性特征。参数通过SciPy的curve_fit随机多初值优化估计，取R²最优结果。</w:t>
      </w:r>
    </w:p>
    <w:p>
      <w:pPr>
        <w:pStyle w:val="Heading2"/>
      </w:pPr>
      <w:r>
        <w:rPr>
          <w:rFonts w:ascii="SimSun" w:cs="SimSun" w:eastAsia="SimSun" w:hAnsi="SimSun"/>
          <w:b/>
          <w:bCs/>
        </w:rPr>
        <w:t xml:space="preserve">2.3 要素弹性与规模报酬的经济含义</w:t>
      </w:r>
    </w:p>
    <w:p>
      <w:pPr>
        <w:spacing w:line="360"/>
        <w:ind w:firstLine="480"/>
      </w:pPr>
      <w:r>
        <w:rPr>
          <w:rFonts w:ascii="SimSun" w:cs="SimSun" w:eastAsia="SimSun" w:hAnsi="SimSun"/>
          <w:sz w:val="24"/>
          <w:szCs w:val="24"/>
        </w:rPr>
        <w:t xml:space="preserve">产出弹性表示要素投入变动1%所引起的产出变动百分比，即α=(∂Y/∂K)·(K/Y)，β=(∂Y/∂L)·(L/Y)。α+β&gt;1、=1、&lt;1分别对应规模报酬递增、不变与递减。在完全竞争且要素按边际产出获酬的假设下，α、β还可近似解释为资本与劳动的收入份额。弹性为负通常意味着在控制其他因素后，该要素的边际贡献已不显著，甚至受到结构性约束（如劳动力老化、有效劳动投入下降）。</w:t>
      </w:r>
    </w:p>
    <w:p>
      <w:pPr>
        <w:pStyle w:val="Heading2"/>
      </w:pPr>
      <w:r>
        <w:rPr>
          <w:rFonts w:ascii="SimSun" w:cs="SimSun" w:eastAsia="SimSun" w:hAnsi="SimSun"/>
          <w:b/>
          <w:bCs/>
        </w:rPr>
        <w:t xml:space="preserve">2.4 参数估计方法</w:t>
      </w:r>
    </w:p>
    <w:p>
      <w:pPr>
        <w:spacing w:line="360"/>
        <w:ind w:firstLine="480"/>
      </w:pPr>
      <w:r>
        <w:rPr>
          <w:rFonts w:ascii="SimSun" w:cs="SimSun" w:eastAsia="SimSun" w:hAnsi="SimSun"/>
          <w:sz w:val="24"/>
          <w:szCs w:val="24"/>
        </w:rPr>
        <w:t xml:space="preserve">本文采用两种互补思路：一是对CD2取对数后以普通最小二乘进行线性估计，作为基准；二是对含时间趋势的CD3、CD4直接采用非线性最小二乘（NLS），通过SciPy的curve_fit最小化残差平方和 Σ(Yᵢ−Ŷᵢ)²。由于非线性优化对初值较为敏感，本文采用随机多初值（multi-start）策略多次求解并取R²最优解，以降低陷入局部最优的风险。</w:t>
      </w:r>
    </w:p>
    <w:p>
      <w:pPr>
        <w:pStyle w:val="Heading2"/>
      </w:pPr>
      <w:r>
        <w:rPr>
          <w:rFonts w:ascii="SimSun" w:cs="SimSun" w:eastAsia="SimSun" w:hAnsi="SimSun"/>
          <w:b/>
          <w:bCs/>
        </w:rPr>
        <w:t xml:space="preserve">2.5 模型评价指标</w:t>
      </w:r>
    </w:p>
    <w:p>
      <w:pPr>
        <w:spacing w:line="360"/>
        <w:ind w:firstLine="480"/>
      </w:pPr>
      <w:r>
        <w:rPr>
          <w:rFonts w:ascii="SimSun" w:cs="SimSun" w:eastAsia="SimSun" w:hAnsi="SimSun"/>
          <w:sz w:val="24"/>
          <w:szCs w:val="24"/>
        </w:rPr>
        <w:t xml:space="preserve">模型拟合优度以决定系数 R²=1−SSE/SST 衡量；为惩罚参数个数对R²的虚高，进一步计算调整R²=1−(1−R²)(n−1)/(n−k−1)，其中n为样本量，k为自变量个数。此外，通过残差图考察误差的随机性、是否存在系统性偏差与结构性突变，作为模型适用性的辅助判据。</w:t>
      </w:r>
    </w:p>
    <w:p>
      <w:pPr>
        <w:pStyle w:val="Heading1"/>
      </w:pPr>
      <w:r>
        <w:rPr>
          <w:rFonts w:ascii="SimSun" w:cs="SimSun" w:eastAsia="SimSun" w:hAnsi="SimSun"/>
          <w:b/>
          <w:bCs/>
        </w:rPr>
        <w:t xml:space="preserve">三、数据来源与描述性统计</w:t>
      </w:r>
    </w:p>
    <w:p>
      <w:pPr>
        <w:spacing w:line="360"/>
        <w:ind w:firstLine="480"/>
      </w:pPr>
      <w:r>
        <w:rPr>
          <w:rFonts w:ascii="SimSun" w:cs="SimSun" w:eastAsia="SimSun" w:hAnsi="SimSun"/>
          <w:sz w:val="24"/>
          <w:szCs w:val="24"/>
        </w:rPr>
        <w:t xml:space="preserve">数据来源于世界银行Open Data API，样本区间为日本1990—2022年（n=33），所有货币指标均以2015年不变价美元计量，以剔除价格变动与汇率波动的影响。</w:t>
      </w:r>
    </w:p>
    <w:p>
      <w:pPr>
        <w:spacing w:after="240" w:before="60"/>
        <w:jc w:val="center"/>
      </w:pPr>
      <w:r>
        <w:rPr>
          <w:rFonts w:ascii="SimSun" w:cs="SimSun" w:eastAsia="SimSun" w:hAnsi="SimSun"/>
          <w:sz w:val="20"/>
          <w:szCs w:val="20"/>
        </w:rPr>
        <w:t xml:space="preserve">表1  变量说明</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3600"/>
        <w:gridCol w:w="4526"/>
      </w:tblGrid>
      <w:tr>
        <w:tc>
          <w:tcPr>
            <w:tcW w:type="dxa" w:w="90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变量</w:t>
            </w:r>
          </w:p>
        </w:tc>
        <w:tc>
          <w:tcPr>
            <w:tcW w:type="dxa" w:w="360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含义</w:t>
            </w:r>
          </w:p>
        </w:tc>
        <w:tc>
          <w:tcPr>
            <w:tcW w:type="dxa" w:w="4526"/>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世界银行指标代码</w:t>
            </w:r>
          </w:p>
        </w:tc>
      </w:tr>
      <w:tr>
        <w:tc>
          <w:tcPr>
            <w:tcW w:type="dxa" w:w="9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Y</w:t>
            </w:r>
          </w:p>
        </w:tc>
        <w:tc>
          <w:tcPr>
            <w:tcW w:type="dxa" w:w="36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GDP（2015年不变价美元）</w:t>
            </w:r>
          </w:p>
        </w:tc>
        <w:tc>
          <w:tcPr>
            <w:tcW w:type="dxa" w:w="4526"/>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NY.GDP.MKTP.KD</w:t>
            </w:r>
          </w:p>
        </w:tc>
      </w:tr>
      <w:tr>
        <w:tc>
          <w:tcPr>
            <w:tcW w:type="dxa" w:w="9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K</w:t>
            </w:r>
          </w:p>
        </w:tc>
        <w:tc>
          <w:tcPr>
            <w:tcW w:type="dxa" w:w="36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资本形成总额（2015年不变价美元）</w:t>
            </w:r>
          </w:p>
        </w:tc>
        <w:tc>
          <w:tcPr>
            <w:tcW w:type="dxa" w:w="4526"/>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NE.GDI.FTOT.KD</w:t>
            </w:r>
          </w:p>
        </w:tc>
      </w:tr>
      <w:tr>
        <w:tc>
          <w:tcPr>
            <w:tcW w:type="dxa" w:w="9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L</w:t>
            </w:r>
          </w:p>
        </w:tc>
        <w:tc>
          <w:tcPr>
            <w:tcW w:type="dxa" w:w="36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劳动力总量（人）</w:t>
            </w:r>
          </w:p>
        </w:tc>
        <w:tc>
          <w:tcPr>
            <w:tcW w:type="dxa" w:w="4526"/>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SL.TLF.TOTL.IN</w:t>
            </w:r>
          </w:p>
        </w:tc>
      </w:tr>
    </w:tbl>
    <w:p>
      <w:pPr>
        <w:spacing w:line="360"/>
        <w:ind w:firstLine="480"/>
      </w:pPr>
      <w:r>
        <w:rPr>
          <w:rFonts w:ascii="SimSun" w:cs="SimSun" w:eastAsia="SimSun" w:hAnsi="SimSun"/>
          <w:sz w:val="24"/>
          <w:szCs w:val="24"/>
        </w:rPr>
        <w:t xml:space="preserve">主要年份样本数据如表2所示：</w:t>
      </w:r>
    </w:p>
    <w:p>
      <w:pPr>
        <w:spacing w:after="240" w:before="60"/>
        <w:jc w:val="center"/>
      </w:pPr>
      <w:r>
        <w:rPr>
          <w:rFonts w:ascii="SimSun" w:cs="SimSun" w:eastAsia="SimSun" w:hAnsi="SimSun"/>
          <w:sz w:val="20"/>
          <w:szCs w:val="20"/>
        </w:rPr>
        <w:t xml:space="preserve">表2  日本主要经济指标（2015年不变价美元）</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1000"/>
        <w:gridCol w:w="2200"/>
        <w:gridCol w:w="2913"/>
        <w:gridCol w:w="2913"/>
      </w:tblGrid>
      <w:tr>
        <w:tc>
          <w:tcPr>
            <w:tcW w:type="dxa" w:w="100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年份</w:t>
            </w:r>
          </w:p>
        </w:tc>
        <w:tc>
          <w:tcPr>
            <w:tcW w:type="dxa" w:w="220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劳动力（百万人）</w:t>
            </w:r>
          </w:p>
        </w:tc>
        <w:tc>
          <w:tcPr>
            <w:tcW w:type="dxa" w:w="2913"/>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资本形成（亿美元）</w:t>
            </w:r>
          </w:p>
        </w:tc>
        <w:tc>
          <w:tcPr>
            <w:tcW w:type="dxa" w:w="2913"/>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GDP（亿美元）</w:t>
            </w:r>
          </w:p>
        </w:tc>
      </w:tr>
      <w:tr>
        <w:tc>
          <w:tcPr>
            <w:tcW w:type="dxa" w:w="10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1990</w:t>
            </w:r>
          </w:p>
        </w:tc>
        <w:tc>
          <w:tcPr>
            <w:tcW w:type="dxa" w:w="22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64.17</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12,323.6</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35,095.2</w:t>
            </w:r>
          </w:p>
        </w:tc>
      </w:tr>
      <w:tr>
        <w:tc>
          <w:tcPr>
            <w:tcW w:type="dxa" w:w="10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1995</w:t>
            </w:r>
          </w:p>
        </w:tc>
        <w:tc>
          <w:tcPr>
            <w:tcW w:type="dxa" w:w="22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67.13</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12,030.3</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37,856.4</w:t>
            </w:r>
          </w:p>
        </w:tc>
      </w:tr>
      <w:tr>
        <w:tc>
          <w:tcPr>
            <w:tcW w:type="dxa" w:w="10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2000</w:t>
            </w:r>
          </w:p>
        </w:tc>
        <w:tc>
          <w:tcPr>
            <w:tcW w:type="dxa" w:w="22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67.81</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12,008.1</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39,867.6</w:t>
            </w:r>
          </w:p>
        </w:tc>
      </w:tr>
      <w:tr>
        <w:tc>
          <w:tcPr>
            <w:tcW w:type="dxa" w:w="10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2005</w:t>
            </w:r>
          </w:p>
        </w:tc>
        <w:tc>
          <w:tcPr>
            <w:tcW w:type="dxa" w:w="22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66.58</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11,568.4</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42,291.0</w:t>
            </w:r>
          </w:p>
        </w:tc>
      </w:tr>
      <w:tr>
        <w:tc>
          <w:tcPr>
            <w:tcW w:type="dxa" w:w="10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2010</w:t>
            </w:r>
          </w:p>
        </w:tc>
        <w:tc>
          <w:tcPr>
            <w:tcW w:type="dxa" w:w="22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66.10</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9,706.4</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42,189.1</w:t>
            </w:r>
          </w:p>
        </w:tc>
      </w:tr>
      <w:tr>
        <w:tc>
          <w:tcPr>
            <w:tcW w:type="dxa" w:w="10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2015</w:t>
            </w:r>
          </w:p>
        </w:tc>
        <w:tc>
          <w:tcPr>
            <w:tcW w:type="dxa" w:w="22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65.93</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11,099.6</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44,449.3</w:t>
            </w:r>
          </w:p>
        </w:tc>
      </w:tr>
      <w:tr>
        <w:tc>
          <w:tcPr>
            <w:tcW w:type="dxa" w:w="10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2020</w:t>
            </w:r>
          </w:p>
        </w:tc>
        <w:tc>
          <w:tcPr>
            <w:tcW w:type="dxa" w:w="22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68.66</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11,117.2</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43,740.6</w:t>
            </w:r>
          </w:p>
        </w:tc>
      </w:tr>
      <w:tr>
        <w:tc>
          <w:tcPr>
            <w:tcW w:type="dxa" w:w="10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2022</w:t>
            </w:r>
          </w:p>
        </w:tc>
        <w:tc>
          <w:tcPr>
            <w:tcW w:type="dxa" w:w="22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68.93</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11,108.6</w:t>
            </w:r>
          </w:p>
        </w:tc>
        <w:tc>
          <w:tcPr>
            <w:tcW w:type="dxa" w:w="2913"/>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45,343.2</w:t>
            </w:r>
          </w:p>
        </w:tc>
      </w:tr>
    </w:tbl>
    <w:p>
      <w:pPr>
        <w:spacing w:line="360"/>
        <w:ind w:firstLine="480"/>
      </w:pPr>
      <w:r>
        <w:rPr>
          <w:rFonts w:ascii="SimSun" w:cs="SimSun" w:eastAsia="SimSun" w:hAnsi="SimSun"/>
          <w:sz w:val="24"/>
          <w:szCs w:val="24"/>
        </w:rPr>
        <w:t xml:space="preserve">数据预处理包括指标口径核对、单位统一（统一换算为2015年不变价美元）与缺失值检查（本样本无缺失）。各主要变量的描述性统计如表3所示：</w:t>
      </w:r>
    </w:p>
    <w:p>
      <w:pPr>
        <w:spacing w:after="240" w:before="60"/>
        <w:jc w:val="center"/>
      </w:pPr>
      <w:r>
        <w:rPr>
          <w:rFonts w:ascii="SimSun" w:cs="SimSun" w:eastAsia="SimSun" w:hAnsi="SimSun"/>
          <w:sz w:val="20"/>
          <w:szCs w:val="20"/>
        </w:rPr>
        <w:t xml:space="preserve">表3  主要变量描述性统计（1990—2022，n=33）</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2172"/>
        <w:gridCol w:w="1380"/>
        <w:gridCol w:w="1380"/>
        <w:gridCol w:w="1380"/>
        <w:gridCol w:w="1380"/>
        <w:gridCol w:w="1380"/>
      </w:tblGrid>
      <w:tr>
        <w:tc>
          <w:tcPr>
            <w:tcW w:type="dxa" w:w="2172"/>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指标</w:t>
            </w:r>
          </w:p>
        </w:tc>
        <w:tc>
          <w:tcPr>
            <w:tcW w:type="dxa" w:w="138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均值</w:t>
            </w:r>
          </w:p>
        </w:tc>
        <w:tc>
          <w:tcPr>
            <w:tcW w:type="dxa" w:w="138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标准差</w:t>
            </w:r>
          </w:p>
        </w:tc>
        <w:tc>
          <w:tcPr>
            <w:tcW w:type="dxa" w:w="138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最小值</w:t>
            </w:r>
          </w:p>
        </w:tc>
        <w:tc>
          <w:tcPr>
            <w:tcW w:type="dxa" w:w="138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最大值</w:t>
            </w:r>
          </w:p>
        </w:tc>
        <w:tc>
          <w:tcPr>
            <w:tcW w:type="dxa" w:w="138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年均增长率</w:t>
            </w:r>
          </w:p>
        </w:tc>
      </w:tr>
      <w:tr>
        <w:tc>
          <w:tcPr>
            <w:tcW w:type="dxa" w:w="2172"/>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劳动力（百万人）</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66.92</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1.14</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64.17</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68.93</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0.22%</w:t>
            </w:r>
          </w:p>
        </w:tc>
      </w:tr>
      <w:tr>
        <w:tc>
          <w:tcPr>
            <w:tcW w:type="dxa" w:w="2172"/>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资本形成（亿美元）</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11,418.1</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786.0</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9,706.4</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12,849.1</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-0.32%</w:t>
            </w:r>
          </w:p>
        </w:tc>
      </w:tr>
      <w:tr>
        <w:tc>
          <w:tcPr>
            <w:tcW w:type="dxa" w:w="2172"/>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GDP（亿美元）</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41,352.0</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3,098.4</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35,095.2</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45,827.6</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0.80%</w:t>
            </w:r>
          </w:p>
        </w:tc>
      </w:tr>
      <w:tr>
        <w:tc>
          <w:tcPr>
            <w:tcW w:type="dxa" w:w="2172"/>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劳均GDP（万美元/人）</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6.18</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0.44</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5.47</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6.79</w:t>
            </w:r>
          </w:p>
        </w:tc>
        <w:tc>
          <w:tcPr>
            <w:tcW w:type="dxa" w:w="138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0.58%</w:t>
            </w:r>
          </w:p>
        </w:tc>
      </w:tr>
    </w:tbl>
    <w:p>
      <w:pPr>
        <w:spacing w:line="360"/>
        <w:ind w:firstLine="480"/>
      </w:pPr>
      <w:r>
        <w:rPr>
          <w:rFonts w:ascii="SimSun" w:cs="SimSun" w:eastAsia="SimSun" w:hAnsi="SimSun"/>
          <w:sz w:val="24"/>
          <w:szCs w:val="24"/>
        </w:rPr>
        <w:t xml:space="preserve">由描述性统计可见：样本期内日本GDP由1990年的35,095亿美元增长至2022年的45,343亿美元，年均增长率仅约0.80%，并于2018年达到峰值45,828亿美元；劳动力规模长期稳定（年均增长0.22%，标准差仅1.14百万人）；尤为值得注意的是，资本形成总额年均增长率为−0.32%，呈现长期收缩态势。劳均GDP由5.47万美元升至6.58万美元，年均增长0.58%，表明增长主要来自劳动生产率提升而非要素数量扩张，与日本“低投入、低增长”的成熟经济体特征相符。</w:t>
      </w:r>
    </w:p>
    <w:p>
      <w:pPr>
        <w:pStyle w:val="Heading1"/>
      </w:pPr>
      <w:r>
        <w:rPr>
          <w:rFonts w:ascii="SimSun" w:cs="SimSun" w:eastAsia="SimSun" w:hAnsi="SimSun"/>
          <w:b/>
          <w:bCs/>
        </w:rPr>
        <w:t xml:space="preserve">四、模型拟合结果与分析</w:t>
      </w:r>
    </w:p>
    <w:p>
      <w:pPr>
        <w:spacing w:line="360"/>
        <w:ind w:firstLine="480"/>
      </w:pPr>
      <w:r>
        <w:rPr>
          <w:rFonts w:ascii="SimSun" w:cs="SimSun" w:eastAsia="SimSun" w:hAnsi="SimSun"/>
          <w:sz w:val="24"/>
          <w:szCs w:val="24"/>
        </w:rPr>
        <w:t xml:space="preserve">三种Cobb-Douglas模型的参数估计结果汇总于表4（含调整R²）：</w:t>
      </w:r>
    </w:p>
    <w:p>
      <w:pPr>
        <w:spacing w:after="240" w:before="60"/>
        <w:jc w:val="center"/>
      </w:pPr>
      <w:r>
        <w:rPr>
          <w:rFonts w:ascii="SimSun" w:cs="SimSun" w:eastAsia="SimSun" w:hAnsi="SimSun"/>
          <w:sz w:val="20"/>
          <w:szCs w:val="20"/>
        </w:rPr>
        <w:t xml:space="preserve">表4  三种Cobb-Douglas模型参数估计结果</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450"/>
        <w:gridCol w:w="1450"/>
        <w:gridCol w:w="1250"/>
        <w:gridCol w:w="1300"/>
        <w:gridCol w:w="1300"/>
        <w:gridCol w:w="1422"/>
      </w:tblGrid>
      <w:tr>
        <w:tc>
          <w:tcPr>
            <w:tcW w:type="dxa" w:w="90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模型</w:t>
            </w:r>
          </w:p>
        </w:tc>
        <w:tc>
          <w:tcPr>
            <w:tcW w:type="dxa" w:w="145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α（资本）</w:t>
            </w:r>
          </w:p>
        </w:tc>
        <w:tc>
          <w:tcPr>
            <w:tcW w:type="dxa" w:w="145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β（劳动）</w:t>
            </w:r>
          </w:p>
        </w:tc>
        <w:tc>
          <w:tcPr>
            <w:tcW w:type="dxa" w:w="125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α+β</w:t>
            </w:r>
          </w:p>
        </w:tc>
        <w:tc>
          <w:tcPr>
            <w:tcW w:type="dxa" w:w="130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R²</w:t>
            </w:r>
          </w:p>
        </w:tc>
        <w:tc>
          <w:tcPr>
            <w:tcW w:type="dxa" w:w="1300"/>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调整R²</w:t>
            </w:r>
          </w:p>
        </w:tc>
        <w:tc>
          <w:tcPr>
            <w:tcW w:type="dxa" w:w="1422"/>
            <w:tcBorders>
              <w:top w:val="single" w:color="999999" w:sz="1"/>
              <w:left w:val="single" w:color="999999" w:sz="1"/>
              <w:bottom w:val="single" w:color="999999" w:sz="1"/>
              <w:right w:val="single" w:color="999999" w:sz="1"/>
            </w:tcBorders>
            <w:shd w:fill="D5E8F0" w:val="clear"/>
            <w:tcMar>
              <w:top w:type="dxa" w:w="80"/>
              <w:left w:type="dxa" w:w="120"/>
              <w:bottom w:type="dxa" w:w="80"/>
              <w:right w:type="dxa" w:w="120"/>
            </w:tcMar>
            <w:vAlign w:val="center"/>
          </w:tcPr>
          <w:p>
            <w:pPr>
              <w:jc w:val="center"/>
            </w:pPr>
            <w:r>
              <w:rPr>
                <w:b/>
                <w:bCs/>
                <w:sz w:val="20"/>
                <w:szCs w:val="20"/>
              </w:rPr>
              <w:t xml:space="preserve">规模报酬</w:t>
            </w:r>
          </w:p>
        </w:tc>
      </w:tr>
      <w:tr>
        <w:tc>
          <w:tcPr>
            <w:tcW w:type="dxa" w:w="9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CD2</w:t>
            </w:r>
          </w:p>
        </w:tc>
        <w:tc>
          <w:tcPr>
            <w:tcW w:type="dxa" w:w="145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-0.6650</w:t>
            </w:r>
          </w:p>
        </w:tc>
        <w:tc>
          <w:tcPr>
            <w:tcW w:type="dxa" w:w="145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2.0889</w:t>
            </w:r>
          </w:p>
        </w:tc>
        <w:tc>
          <w:tcPr>
            <w:tcW w:type="dxa" w:w="125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1.4239</w:t>
            </w:r>
          </w:p>
        </w:tc>
        <w:tc>
          <w:tcPr>
            <w:tcW w:type="dxa" w:w="13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0.4668</w:t>
            </w:r>
          </w:p>
        </w:tc>
        <w:tc>
          <w:tcPr>
            <w:tcW w:type="dxa" w:w="13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0.4116</w:t>
            </w:r>
          </w:p>
        </w:tc>
        <w:tc>
          <w:tcPr>
            <w:tcW w:type="dxa" w:w="1422"/>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递增</w:t>
            </w:r>
          </w:p>
        </w:tc>
      </w:tr>
      <w:tr>
        <w:tc>
          <w:tcPr>
            <w:tcW w:type="dxa" w:w="9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CD3</w:t>
            </w:r>
          </w:p>
        </w:tc>
        <w:tc>
          <w:tcPr>
            <w:tcW w:type="dxa" w:w="145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0.1329</w:t>
            </w:r>
          </w:p>
        </w:tc>
        <w:tc>
          <w:tcPr>
            <w:tcW w:type="dxa" w:w="145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-0.2529</w:t>
            </w:r>
          </w:p>
        </w:tc>
        <w:tc>
          <w:tcPr>
            <w:tcW w:type="dxa" w:w="125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-0.1200</w:t>
            </w:r>
          </w:p>
        </w:tc>
        <w:tc>
          <w:tcPr>
            <w:tcW w:type="dxa" w:w="13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0.9149</w:t>
            </w:r>
          </w:p>
        </w:tc>
        <w:tc>
          <w:tcPr>
            <w:tcW w:type="dxa" w:w="13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0.9027</w:t>
            </w:r>
          </w:p>
        </w:tc>
        <w:tc>
          <w:tcPr>
            <w:tcW w:type="dxa" w:w="1422"/>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递减</w:t>
            </w:r>
          </w:p>
        </w:tc>
      </w:tr>
      <w:tr>
        <w:tc>
          <w:tcPr>
            <w:tcW w:type="dxa" w:w="9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CD4</w:t>
            </w:r>
          </w:p>
        </w:tc>
        <w:tc>
          <w:tcPr>
            <w:tcW w:type="dxa" w:w="145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0.3711</w:t>
            </w:r>
          </w:p>
        </w:tc>
        <w:tc>
          <w:tcPr>
            <w:tcW w:type="dxa" w:w="145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-0.3578</w:t>
            </w:r>
          </w:p>
        </w:tc>
        <w:tc>
          <w:tcPr>
            <w:tcW w:type="dxa" w:w="125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0.0134</w:t>
            </w:r>
          </w:p>
        </w:tc>
        <w:tc>
          <w:tcPr>
            <w:tcW w:type="dxa" w:w="13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0.9807</w:t>
            </w:r>
          </w:p>
        </w:tc>
        <w:tc>
          <w:tcPr>
            <w:tcW w:type="dxa" w:w="1300"/>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0.9771</w:t>
            </w:r>
          </w:p>
        </w:tc>
        <w:tc>
          <w:tcPr>
            <w:tcW w:type="dxa" w:w="1422"/>
            <w:tcBorders>
              <w:top w:val="single" w:color="999999" w:sz="1"/>
              <w:left w:val="single" w:color="999999" w:sz="1"/>
              <w:bottom w:val="single" w:color="999999" w:sz="1"/>
              <w:right w:val="single" w:color="999999" w:sz="1"/>
            </w:tcBorders>
            <w:tcMar>
              <w:top w:type="dxa" w:w="80"/>
              <w:left w:type="dxa" w:w="120"/>
              <w:bottom w:type="dxa" w:w="80"/>
              <w:right w:type="dxa" w:w="120"/>
            </w:tcMar>
            <w:vAlign w:val="center"/>
          </w:tcPr>
          <w:p>
            <w:pPr>
              <w:jc w:val="center"/>
            </w:pPr>
            <w:r>
              <w:rPr>
                <w:sz w:val="20"/>
                <w:szCs w:val="20"/>
              </w:rPr>
              <w:t xml:space="preserve">接近不变</w:t>
            </w:r>
          </w:p>
        </w:tc>
      </w:tr>
    </w:tbl>
    <w:p>
      <w:pPr>
        <w:pStyle w:val="Heading2"/>
      </w:pPr>
      <w:r>
        <w:rPr>
          <w:rFonts w:ascii="SimSun" w:cs="SimSun" w:eastAsia="SimSun" w:hAnsi="SimSun"/>
          <w:b/>
          <w:bCs/>
        </w:rPr>
        <w:t xml:space="preserve">4.1 CD2基准模型</w:t>
      </w:r>
    </w:p>
    <w:p>
      <w:pPr>
        <w:spacing w:after="60" w:before="240"/>
        <w:jc w:val="center"/>
      </w:pPr>
      <w:r>
        <w:drawing>
          <wp:inline distT="0" distB="0" distL="0" distR="0">
            <wp:extent cx="5810250" cy="2905125"/>
            <wp:effectExtent t="0" r="0" b="0" l="0"/>
            <wp:docPr id="1" name="Fig1_CD2_Fit.png" descr="Fig1_CD2_Fit.png" title="Fig1_CD2_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810250" cy="2905125"/>
                    </a:xfrm>
                    <a:prstGeom prst="rect">
                      <a:avLst/>
                    </a:prstGeom>
                  </pic:spPr>
                </pic:pic>
              </a:graphicData>
            </a:graphic>
          </wp:inline>
        </w:drawing>
      </w:r>
    </w:p>
    <w:p>
      <w:pPr>
        <w:spacing w:after="240" w:before="60"/>
        <w:jc w:val="center"/>
      </w:pPr>
      <w:r>
        <w:rPr>
          <w:rFonts w:ascii="SimSun" w:cs="SimSun" w:eastAsia="SimSun" w:hAnsi="SimSun"/>
          <w:sz w:val="20"/>
          <w:szCs w:val="20"/>
        </w:rPr>
        <w:t xml:space="preserve">图1  日本GDP — CD2模型拟合（R²=0.4668）</w:t>
      </w:r>
    </w:p>
    <w:p>
      <w:pPr>
        <w:spacing w:line="360"/>
        <w:ind w:firstLine="480"/>
      </w:pPr>
      <w:r>
        <w:rPr>
          <w:rFonts w:ascii="SimSun" w:cs="SimSun" w:eastAsia="SimSun" w:hAnsi="SimSun"/>
          <w:sz w:val="24"/>
          <w:szCs w:val="24"/>
        </w:rPr>
        <w:t xml:space="preserve">CD2模型R²=0.4668、调整R²=0.4116，拟合效果较差。这说明在不控制技术进步与时间因素的情况下，仅凭资本与劳动两要素难以解释日本GDP的长期演变；同时其资本弹性为负（α=−0.6650）、劳动弹性异常偏高（β=2.0889），参数缺乏稳健的经济解释，反映了模型设定不足导致的估计偏误。</w:t>
      </w:r>
    </w:p>
    <w:p>
      <w:pPr>
        <w:pStyle w:val="Heading2"/>
      </w:pPr>
      <w:r>
        <w:rPr>
          <w:rFonts w:ascii="SimSun" w:cs="SimSun" w:eastAsia="SimSun" w:hAnsi="SimSun"/>
          <w:b/>
          <w:bCs/>
        </w:rPr>
        <w:t xml:space="preserve">4.2 CD3：引入线性时间趋势</w:t>
      </w:r>
    </w:p>
    <w:p>
      <w:pPr>
        <w:spacing w:after="60" w:before="240"/>
        <w:jc w:val="center"/>
      </w:pPr>
      <w:r>
        <w:drawing>
          <wp:inline distT="0" distB="0" distL="0" distR="0">
            <wp:extent cx="5810250" cy="2905125"/>
            <wp:effectExtent t="0" r="0" b="0" l="0"/>
            <wp:docPr id="1" name="Fig2_CD3_Fit.png" descr="Fig2_CD3_Fit.png" title="Fig2_CD3_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810250" cy="2905125"/>
                    </a:xfrm>
                    <a:prstGeom prst="rect">
                      <a:avLst/>
                    </a:prstGeom>
                  </pic:spPr>
                </pic:pic>
              </a:graphicData>
            </a:graphic>
          </wp:inline>
        </w:drawing>
      </w:r>
    </w:p>
    <w:p>
      <w:pPr>
        <w:spacing w:after="240" w:before="60"/>
        <w:jc w:val="center"/>
      </w:pPr>
      <w:r>
        <w:rPr>
          <w:rFonts w:ascii="SimSun" w:cs="SimSun" w:eastAsia="SimSun" w:hAnsi="SimSun"/>
          <w:sz w:val="20"/>
          <w:szCs w:val="20"/>
        </w:rPr>
        <w:t xml:space="preserve">图2  日本GDP — CD3模型拟合（R²=0.9149）</w:t>
      </w:r>
    </w:p>
    <w:p>
      <w:pPr>
        <w:spacing w:line="360"/>
        <w:ind w:firstLine="480"/>
      </w:pPr>
      <w:r>
        <w:rPr>
          <w:rFonts w:ascii="SimSun" w:cs="SimSun" w:eastAsia="SimSun" w:hAnsi="SimSun"/>
          <w:sz w:val="24"/>
          <w:szCs w:val="24"/>
        </w:rPr>
        <w:t xml:space="preserve">引入线性时间趋势后，CD3模型R²大幅提升至0.9149、调整R²=0.9027，说明时间趋势项有效吸收了技术进步等随时间演变的因素，参数g≈0.13反映温和的正向技术进步，模型解释力显著增强。</w:t>
      </w:r>
    </w:p>
    <w:p>
      <w:pPr>
        <w:pStyle w:val="Heading2"/>
      </w:pPr>
      <w:r>
        <w:rPr>
          <w:rFonts w:ascii="SimSun" w:cs="SimSun" w:eastAsia="SimSun" w:hAnsi="SimSun"/>
          <w:b/>
          <w:bCs/>
        </w:rPr>
        <w:t xml:space="preserve">4.3 CD4：引入二次时间趋势与模型对比</w:t>
      </w:r>
    </w:p>
    <w:p>
      <w:pPr>
        <w:spacing w:after="60" w:before="240"/>
        <w:jc w:val="center"/>
      </w:pPr>
      <w:r>
        <w:drawing>
          <wp:inline distT="0" distB="0" distL="0" distR="0">
            <wp:extent cx="5810250" cy="1552575"/>
            <wp:effectExtent t="0" r="0" b="0" l="0"/>
            <wp:docPr id="1" name="Fig3_Model_Comparison.png" descr="Fig3_Model_Comparison.png" title="Fig3_Model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810250" cy="1552575"/>
                    </a:xfrm>
                    <a:prstGeom prst="rect">
                      <a:avLst/>
                    </a:prstGeom>
                  </pic:spPr>
                </pic:pic>
              </a:graphicData>
            </a:graphic>
          </wp:inline>
        </w:drawing>
      </w:r>
    </w:p>
    <w:p>
      <w:pPr>
        <w:spacing w:after="240" w:before="60"/>
        <w:jc w:val="center"/>
      </w:pPr>
      <w:r>
        <w:rPr>
          <w:rFonts w:ascii="SimSun" w:cs="SimSun" w:eastAsia="SimSun" w:hAnsi="SimSun"/>
          <w:sz w:val="20"/>
          <w:szCs w:val="20"/>
        </w:rPr>
        <w:t xml:space="preserve">图3  三种Cobb-Douglas模型拟合效果对比</w:t>
      </w:r>
    </w:p>
    <w:p>
      <w:pPr>
        <w:spacing w:after="60" w:before="240"/>
        <w:jc w:val="center"/>
      </w:pPr>
      <w:r>
        <w:drawing>
          <wp:inline distT="0" distB="0" distL="0" distR="0">
            <wp:extent cx="5810250" cy="1552575"/>
            <wp:effectExtent t="0" r="0" b="0" l="0"/>
            <wp:docPr id="1" name="Fig4_Residuals.png" descr="Fig4_Residuals.png" title="Fig4_Residu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810250" cy="1552575"/>
                    </a:xfrm>
                    <a:prstGeom prst="rect">
                      <a:avLst/>
                    </a:prstGeom>
                  </pic:spPr>
                </pic:pic>
              </a:graphicData>
            </a:graphic>
          </wp:inline>
        </w:drawing>
      </w:r>
    </w:p>
    <w:p>
      <w:pPr>
        <w:spacing w:after="240" w:before="60"/>
        <w:jc w:val="center"/>
      </w:pPr>
      <w:r>
        <w:rPr>
          <w:rFonts w:ascii="SimSun" w:cs="SimSun" w:eastAsia="SimSun" w:hAnsi="SimSun"/>
          <w:sz w:val="20"/>
          <w:szCs w:val="20"/>
        </w:rPr>
        <w:t xml:space="preserve">图4  三种模型残差图</w:t>
      </w:r>
    </w:p>
    <w:p>
      <w:pPr>
        <w:spacing w:line="360"/>
        <w:ind w:firstLine="480"/>
      </w:pPr>
      <w:r>
        <w:rPr>
          <w:rFonts w:ascii="SimSun" w:cs="SimSun" w:eastAsia="SimSun" w:hAnsi="SimSun"/>
          <w:sz w:val="24"/>
          <w:szCs w:val="24"/>
        </w:rPr>
        <w:t xml:space="preserve">进一步引入二次时间趋势的CD4模型拟合优度最高（R²=0.9807、调整R²=0.9771）。由图3、图4可见，CD4残差最小且分布最均匀，能够刻画技术进步先快后慢的非线性轨迹，与日本经济由高速增长转入长期停滞的历程高度吻合。</w:t>
      </w:r>
    </w:p>
    <w:p>
      <w:pPr>
        <w:pStyle w:val="Heading2"/>
      </w:pPr>
      <w:r>
        <w:rPr>
          <w:rFonts w:ascii="SimSun" w:cs="SimSun" w:eastAsia="SimSun" w:hAnsi="SimSun"/>
          <w:b/>
          <w:bCs/>
        </w:rPr>
        <w:t xml:space="preserve">4.4 结构性变化与残差诊断</w:t>
      </w:r>
    </w:p>
    <w:p>
      <w:pPr>
        <w:spacing w:line="360"/>
        <w:ind w:firstLine="480"/>
      </w:pPr>
      <w:r>
        <w:rPr>
          <w:rFonts w:ascii="SimSun" w:cs="SimSun" w:eastAsia="SimSun" w:hAnsi="SimSun"/>
          <w:sz w:val="24"/>
          <w:szCs w:val="24"/>
        </w:rPr>
        <w:t xml:space="preserve">将拟合残差与日本宏观经济史对照，可识别若干结构性节点：1991年资产泡沫破裂开启长期调整；1997—1998年受亚洲金融危机冲击；2008—2009年全球金融危机期间GDP由42,975亿美元降至40,528亿美元，降幅达5.69%，为样本期内最大单年跌幅；2011年东日本大地震造成短期扰动；2020年新冠疫情使GDP较上年下降4.17%。上述事件在残差图中表现为局部偏离，说明纯时间趋势模型对突发外生冲击的刻画能力有限，但整体趋势拟合依然稳健。</w:t>
      </w:r>
    </w:p>
    <w:p>
      <w:pPr>
        <w:pStyle w:val="Heading1"/>
      </w:pPr>
      <w:r>
        <w:rPr>
          <w:rFonts w:ascii="SimSun" w:cs="SimSun" w:eastAsia="SimSun" w:hAnsi="SimSun"/>
          <w:b/>
          <w:bCs/>
        </w:rPr>
        <w:t xml:space="preserve">五、经济解释与政策启示</w:t>
      </w:r>
    </w:p>
    <w:p>
      <w:pPr>
        <w:pStyle w:val="Heading2"/>
      </w:pPr>
      <w:r>
        <w:rPr>
          <w:rFonts w:ascii="SimSun" w:cs="SimSun" w:eastAsia="SimSun" w:hAnsi="SimSun"/>
          <w:b/>
          <w:bCs/>
        </w:rPr>
        <w:t xml:space="preserve">5.1 要素弹性的经济解读</w:t>
      </w:r>
    </w:p>
    <w:p>
      <w:pPr>
        <w:spacing w:line="360"/>
        <w:ind w:firstLine="480"/>
      </w:pPr>
      <w:r>
        <w:rPr>
          <w:rFonts w:ascii="SimSun" w:cs="SimSun" w:eastAsia="SimSun" w:hAnsi="SimSun"/>
          <w:sz w:val="24"/>
          <w:szCs w:val="24"/>
        </w:rPr>
        <w:t xml:space="preserve">CD4模型估计的资本弹性α=0.3711处于经验合理区间，表明资本投入对日本产出仍具正向贡献；劳动弹性β=−0.3578为负，意味着在控制资本与技术进步后，劳动力数量的边际产出贡献已不再显著甚至呈负向，这与日本劳动力老化、有效工时下降及部分行业冗员等结构性问题相吻合。</w:t>
      </w:r>
    </w:p>
    <w:p>
      <w:pPr>
        <w:pStyle w:val="Heading2"/>
      </w:pPr>
      <w:r>
        <w:rPr>
          <w:rFonts w:ascii="SimSun" w:cs="SimSun" w:eastAsia="SimSun" w:hAnsi="SimSun"/>
          <w:b/>
          <w:bCs/>
        </w:rPr>
        <w:t xml:space="preserve">5.2 人口老龄化与劳动贡献</w:t>
      </w:r>
    </w:p>
    <w:p>
      <w:pPr>
        <w:spacing w:line="360"/>
        <w:ind w:firstLine="480"/>
      </w:pPr>
      <w:r>
        <w:rPr>
          <w:rFonts w:ascii="SimSun" w:cs="SimSun" w:eastAsia="SimSun" w:hAnsi="SimSun"/>
          <w:sz w:val="24"/>
          <w:szCs w:val="24"/>
        </w:rPr>
        <w:t xml:space="preserve">样本期内日本劳动力年均增速仅0.22%且趋于停滞，叠加老龄化导致的人力资本结构变化，使劳动要素难以成为增长引擎。α+β≈0.0134接近规模报酬不变，显示日本经济增长高度依赖资本深化与生产率提升，而非要素规模扩张。</w:t>
      </w:r>
    </w:p>
    <w:p>
      <w:pPr>
        <w:pStyle w:val="Heading2"/>
      </w:pPr>
      <w:r>
        <w:rPr>
          <w:rFonts w:ascii="SimSun" w:cs="SimSun" w:eastAsia="SimSun" w:hAnsi="SimSun"/>
          <w:b/>
          <w:bCs/>
        </w:rPr>
        <w:t xml:space="preserve">5.3 全要素生产率与技术进步</w:t>
      </w:r>
    </w:p>
    <w:p>
      <w:pPr>
        <w:spacing w:line="360"/>
        <w:ind w:firstLine="480"/>
      </w:pPr>
      <w:r>
        <w:rPr>
          <w:rFonts w:ascii="SimSun" w:cs="SimSun" w:eastAsia="SimSun" w:hAnsi="SimSun"/>
          <w:sz w:val="24"/>
          <w:szCs w:val="24"/>
        </w:rPr>
        <w:t xml:space="preserve">CD3、CD4中时间趋势项的引入大幅提升拟合优度，其经济含义对应于全要素生产率（TFP）的变化。二次趋势项的显著性说明日本TFP增长呈非线性、阶段性放缓特征，印证了“失去的二十年”中技术进步贡献趋弱的判断。</w:t>
      </w:r>
    </w:p>
    <w:p>
      <w:pPr>
        <w:pStyle w:val="Heading2"/>
      </w:pPr>
      <w:r>
        <w:rPr>
          <w:rFonts w:ascii="SimSun" w:cs="SimSun" w:eastAsia="SimSun" w:hAnsi="SimSun"/>
          <w:b/>
          <w:bCs/>
        </w:rPr>
        <w:t xml:space="preserve">5.4 政策启示</w:t>
      </w:r>
    </w:p>
    <w:p>
      <w:pPr>
        <w:spacing w:line="360"/>
        <w:ind w:firstLine="480"/>
      </w:pPr>
      <w:r>
        <w:rPr>
          <w:rFonts w:ascii="SimSun" w:cs="SimSun" w:eastAsia="SimSun" w:hAnsi="SimSun"/>
          <w:sz w:val="24"/>
          <w:szCs w:val="24"/>
        </w:rPr>
        <w:t xml:space="preserve">上述结果对面临相似人口结构压力的经济体具有借鉴意义：在劳动力红利消退的背景下，应更加重视通过技术创新、人力资本提升与资本配置效率改善来维持增长动能，而非单纯依赖要素数量的扩张。</w:t>
      </w:r>
    </w:p>
    <w:p>
      <w:pPr>
        <w:pStyle w:val="Heading1"/>
      </w:pPr>
      <w:r>
        <w:rPr>
          <w:rFonts w:ascii="SimSun" w:cs="SimSun" w:eastAsia="SimSun" w:hAnsi="SimSun"/>
          <w:b/>
          <w:bCs/>
        </w:rPr>
        <w:t xml:space="preserve">六、研究局限与展望</w:t>
      </w:r>
    </w:p>
    <w:p>
      <w:pPr>
        <w:spacing w:line="360"/>
        <w:ind w:firstLine="480"/>
      </w:pPr>
      <w:r>
        <w:rPr>
          <w:rFonts w:ascii="SimSun" w:cs="SimSun" w:eastAsia="SimSun" w:hAnsi="SimSun"/>
          <w:sz w:val="24"/>
          <w:szCs w:val="24"/>
        </w:rPr>
        <w:t xml:space="preserve">本文存在以下局限：其一，以时间趋势项近似技术进步，未直接纳入研发投入、人力资本质量、能源等变量，对TFP的刻画较为粗略；其二，Cobb-Douglas设定隐含要素替代弹性恒为1的假设，可能与现实不完全相符，后续可尝试CES等更一般的生产函数；其三，样本为年度宏观数据，未考虑产业异质性。未来可结合面板数据、引入更多结构性变量并采用更稳健的估计方法，以提升模型的解释力与政策含义。</w:t>
      </w:r>
    </w:p>
    <w:p>
      <w:pPr>
        <w:pStyle w:val="Heading1"/>
      </w:pPr>
      <w:r>
        <w:rPr>
          <w:rFonts w:ascii="SimSun" w:cs="SimSun" w:eastAsia="SimSun" w:hAnsi="SimSun"/>
          <w:b/>
          <w:bCs/>
        </w:rPr>
        <w:t xml:space="preserve">七、结论</w:t>
      </w:r>
    </w:p>
    <w:p>
      <w:pPr>
        <w:spacing w:line="360"/>
        <w:ind w:firstLine="480"/>
      </w:pPr>
      <w:r>
        <w:rPr>
          <w:rFonts w:ascii="SimSun" w:cs="SimSun" w:eastAsia="SimSun" w:hAnsi="SimSun"/>
          <w:sz w:val="24"/>
          <w:szCs w:val="24"/>
        </w:rPr>
        <w:t xml:space="preserve">（1）在三种设定中，含二次时间趋势的CD4模型拟合精度最高（R²=0.9807、调整R²=0.9771），表明日本经济中的技术进步呈显著的非线性特征，与其“失去的二十年”的历史进程相吻合。</w:t>
      </w:r>
    </w:p>
    <w:p>
      <w:pPr>
        <w:spacing w:line="360"/>
        <w:ind w:firstLine="480"/>
      </w:pPr>
      <w:r>
        <w:rPr>
          <w:rFonts w:ascii="SimSun" w:cs="SimSun" w:eastAsia="SimSun" w:hAnsi="SimSun"/>
          <w:sz w:val="24"/>
          <w:szCs w:val="24"/>
        </w:rPr>
        <w:t xml:space="preserve">（2）CD4模型资本弹性α=0.3711、劳动弹性β=−0.3578，α+β≈0.0134接近规模报酬不变；劳动弹性为负深刻揭示了人口老龄化背景下劳动要素边际贡献的下降。</w:t>
      </w:r>
    </w:p>
    <w:p>
      <w:pPr>
        <w:spacing w:line="360"/>
        <w:ind w:firstLine="480"/>
      </w:pPr>
      <w:r>
        <w:rPr>
          <w:rFonts w:ascii="SimSun" w:cs="SimSun" w:eastAsia="SimSun" w:hAnsi="SimSun"/>
          <w:sz w:val="24"/>
          <w:szCs w:val="24"/>
        </w:rPr>
        <w:t xml:space="preserve">（3）描述性统计与模型结果共同表明，日本经济增长主要由资本深化与生产率提升驱动，劳动与资本的数量扩张贡献有限。</w:t>
      </w:r>
    </w:p>
    <w:p>
      <w:pPr>
        <w:spacing w:line="360"/>
        <w:ind w:firstLine="480"/>
      </w:pPr>
      <w:r>
        <w:rPr>
          <w:rFonts w:ascii="SimSun" w:cs="SimSun" w:eastAsia="SimSun" w:hAnsi="SimSun"/>
          <w:sz w:val="24"/>
          <w:szCs w:val="24"/>
        </w:rPr>
        <w:t xml:space="preserve">（4）Cobb-Douglas函数结合Python/SciPy大数据工具，能够高效完成多模型构建、对比与诊断，为宏观经济实证分析提供了简洁而有效的范式。</w:t>
      </w:r>
    </w:p>
    <w:p>
      <w:pPr>
        <w:pStyle w:val="Heading1"/>
      </w:pPr>
      <w:r>
        <w:rPr>
          <w:rFonts w:ascii="SimSun" w:cs="SimSun" w:eastAsia="SimSun" w:hAnsi="SimSun"/>
          <w:b/>
          <w:bCs/>
        </w:rPr>
        <w:t xml:space="preserve">参考文献</w:t>
      </w:r>
    </w:p>
    <w:p>
      <w:pPr>
        <w:spacing w:line="360"/>
        <w:ind w:left="360" w:hanging="360"/>
      </w:pPr>
      <w:r>
        <w:rPr>
          <w:sz w:val="22"/>
          <w:szCs w:val="22"/>
        </w:rPr>
        <w:t xml:space="preserve">[1] Cobb C W, Douglas P H. A Theory of Production[J]. American Economic Review, 1928, 18: 139-165.</w:t>
      </w:r>
    </w:p>
    <w:p>
      <w:pPr>
        <w:spacing w:line="360"/>
        <w:ind w:left="360" w:hanging="360"/>
      </w:pPr>
      <w:r>
        <w:rPr>
          <w:sz w:val="22"/>
          <w:szCs w:val="22"/>
        </w:rPr>
        <w:t xml:space="preserve">[2] Solow R M. Technical Change and the Aggregate Production Function[J]. Review of Economics and Statistics, 1957, 39(3): 312-320.</w:t>
      </w:r>
    </w:p>
    <w:p>
      <w:pPr>
        <w:spacing w:line="360"/>
        <w:ind w:left="360" w:hanging="360"/>
      </w:pPr>
      <w:r>
        <w:rPr>
          <w:sz w:val="22"/>
          <w:szCs w:val="22"/>
        </w:rPr>
        <w:t xml:space="preserve">[3] Douglas P H. The Cobb-Douglas Production Function Once Again[J]. Journal of Political Economy, 1976, 84(5): 903-915.</w:t>
      </w:r>
    </w:p>
    <w:p>
      <w:pPr>
        <w:spacing w:line="360"/>
        <w:ind w:left="360" w:hanging="360"/>
      </w:pPr>
      <w:r>
        <w:rPr>
          <w:sz w:val="22"/>
          <w:szCs w:val="22"/>
        </w:rPr>
        <w:t xml:space="preserve">[4] Hayashi F, Prescott E C. The 1990s in Japan: A Lost Decade[J]. Review of Economic Dynamics, 2002, 5(1): 206-235.</w:t>
      </w:r>
    </w:p>
    <w:p>
      <w:pPr>
        <w:spacing w:line="360"/>
        <w:ind w:left="360" w:hanging="360"/>
      </w:pPr>
      <w:r>
        <w:rPr>
          <w:sz w:val="22"/>
          <w:szCs w:val="22"/>
        </w:rPr>
        <w:t xml:space="preserve">[5] Barro R J, Sala-i-Martin X. Economic Growth[M]. 2nd ed. Cambridge: MIT Press, 2004.</w:t>
      </w:r>
    </w:p>
    <w:p>
      <w:pPr>
        <w:spacing w:line="360"/>
        <w:ind w:left="360" w:hanging="360"/>
      </w:pPr>
      <w:r>
        <w:rPr>
          <w:sz w:val="22"/>
          <w:szCs w:val="22"/>
        </w:rPr>
        <w:t xml:space="preserve">[6] World Bank. World Development Indicators[DB/OL]. https://data.worldbank.org, 2024.</w:t>
      </w:r>
    </w:p>
    <w:p>
      <w:pPr>
        <w:spacing w:line="360"/>
        <w:ind w:left="360" w:hanging="360"/>
      </w:pPr>
      <w:r>
        <w:rPr>
          <w:sz w:val="22"/>
          <w:szCs w:val="22"/>
        </w:rPr>
        <w:t xml:space="preserve">[7] Virtanen P, Gommers R, Oliphant T E, et al. SciPy 1.0: Fundamental Algorithms for Scientific Computing in Python[J]. Nature Methods, 2020, 17: 261-272.</w:t>
      </w:r>
    </w:p>
    <w:p>
      <w:pPr>
        <w:spacing w:line="360"/>
        <w:ind w:left="360" w:hanging="360"/>
      </w:pPr>
      <w:r>
        <w:rPr>
          <w:sz w:val="22"/>
          <w:szCs w:val="22"/>
        </w:rPr>
        <w:t xml:space="preserve">[8] Harris C R, Millman K J, van der Walt S J, et al. Array Programming with NumPy[J]. Nature, 2020, 585: 357-362.</w:t>
      </w:r>
    </w:p>
    <w:p>
      <w:pPr>
        <w:spacing w:line="360"/>
        <w:ind w:left="360" w:hanging="360"/>
      </w:pPr>
      <w:r>
        <w:rPr>
          <w:sz w:val="22"/>
          <w:szCs w:val="22"/>
        </w:rPr>
        <w:t xml:space="preserve">[9] 阎虎勤. 大数据基础与应用[M]. 讲义, 2026.</w:t>
      </w:r>
    </w:p>
    <w:p>
      <w:r>
        <w:br w:type="page"/>
      </w:r>
    </w:p>
    <w:p>
      <w:pPr>
        <w:pStyle w:val="Heading1"/>
      </w:pPr>
      <w:r>
        <w:rPr>
          <w:rFonts w:ascii="SimSun" w:cs="SimSun" w:eastAsia="SimSun" w:hAnsi="SimSun"/>
          <w:b/>
          <w:bCs/>
        </w:rPr>
        <w:t xml:space="preserve">学习心得</w:t>
      </w:r>
    </w:p>
    <w:p>
      <w:pPr>
        <w:spacing w:line="360"/>
        <w:ind w:firstLine="480"/>
      </w:pPr>
      <w:r>
        <w:rPr>
          <w:rFonts w:ascii="SimSun" w:cs="SimSun" w:eastAsia="SimSun" w:hAnsi="SimSun"/>
          <w:sz w:val="24"/>
          <w:szCs w:val="24"/>
        </w:rPr>
        <w:t xml:space="preserve">通过本学期《大数据基础与应用》课程的学习，我对大数据分析方法有了系统而深入的认识。课程涵盖了货币时间价值、盈亏平衡分析、Cobb-Douglas生产函数、Chebyshev多项式拟合以及人工神经网络等多种方法，每一种方法都让我体会到数学工具在解决经济实际问题中的强大力量，也让我逐步建立起“以数据为依据、以模型为工具、以解释为目的”的分析框架。</w:t>
      </w:r>
    </w:p>
    <w:p>
      <w:pPr>
        <w:spacing w:line="360"/>
        <w:ind w:firstLine="480"/>
      </w:pPr>
      <w:r>
        <w:rPr>
          <w:rFonts w:ascii="SimSun" w:cs="SimSun" w:eastAsia="SimSun" w:hAnsi="SimSun"/>
          <w:sz w:val="24"/>
          <w:szCs w:val="24"/>
        </w:rPr>
        <w:t xml:space="preserve">在本次期末报告中，我独立完成了从世界银行API下载日本数据、数据清洗与口径核对、模型建立、参数估计到结果可视化的全流程。通过对比CD2、CD3、CD4三种模型，我切身体会到“引入合理变量”对模型质量的决定性影响——仅增加一个时间趋势项，R²便从0.47跃升至0.91，再加入二次项后达到0.98。这一发现深刻启示我：模型的优劣不仅取决于算法本身，更取决于对研究对象的深入理解和变量的科学选择。</w:t>
      </w:r>
    </w:p>
    <w:p>
      <w:pPr>
        <w:spacing w:line="360"/>
        <w:ind w:firstLine="480"/>
      </w:pPr>
      <w:r>
        <w:rPr>
          <w:rFonts w:ascii="SimSun" w:cs="SimSun" w:eastAsia="SimSun" w:hAnsi="SimSun"/>
          <w:sz w:val="24"/>
          <w:szCs w:val="24"/>
        </w:rPr>
        <w:t xml:space="preserve">在编程实践方面，本课程让我熟练掌握了NumPy、SciPy、Matplotlib等科学计算库的综合运用。SciPy的curve_fit函数能够自动求解复杂的非线性优化问题，配合随机多初值策略还能有效规避局部最优，使我得以将更多精力放在模型设计与结果解读上，而非陷入繁琐的数值计算细节。这种“站在巨人肩膀上”的工具使用方式，正是大数据时代科研工作者应当具备的能力。</w:t>
      </w:r>
    </w:p>
    <w:p>
      <w:pPr>
        <w:spacing w:line="360"/>
        <w:ind w:firstLine="480"/>
      </w:pPr>
      <w:r>
        <w:rPr>
          <w:rFonts w:ascii="SimSun" w:cs="SimSun" w:eastAsia="SimSun" w:hAnsi="SimSun"/>
          <w:sz w:val="24"/>
          <w:szCs w:val="24"/>
        </w:rPr>
        <w:t xml:space="preserve">更让我印象深刻的是数据背后的经济故事。日本劳动弹性为负、资本形成长期收缩、GDP年均仅增长0.80%等结果，并非冰冷的数字，而是“失去的二十年”与人口老龄化在统计上的真实投影。这让我懂得，数据分析的终点不是得到一个高R²，而是用模型去理解现实、解释现象，甚至为决策提供参考。这种“让数据说话”的思维方式，比任何单一方法都更为宝贵。</w:t>
      </w:r>
    </w:p>
    <w:p>
      <w:pPr>
        <w:spacing w:line="360"/>
        <w:ind w:firstLine="480"/>
      </w:pPr>
      <w:r>
        <w:rPr>
          <w:rFonts w:ascii="SimSun" w:cs="SimSun" w:eastAsia="SimSun" w:hAnsi="SimSun"/>
          <w:sz w:val="24"/>
          <w:szCs w:val="24"/>
        </w:rPr>
        <w:t xml:space="preserve">当然，本次研究也让我认识到自身的不足：对内生性、要素替代弹性等更深入的计量问题理解尚浅，对TFP的刻画仍较粗略。这些不足为我今后的学习指明了方向。</w:t>
      </w:r>
    </w:p>
    <w:p>
      <w:pPr>
        <w:spacing w:line="360"/>
        <w:ind w:firstLine="480"/>
      </w:pPr>
      <w:r>
        <w:rPr>
          <w:rFonts w:ascii="SimSun" w:cs="SimSun" w:eastAsia="SimSun" w:hAnsi="SimSun"/>
          <w:sz w:val="24"/>
          <w:szCs w:val="24"/>
        </w:rPr>
        <w:t xml:space="preserve">总体而言，本学期的学习不仅使我掌握了具体的量化分析方法，更重要的是培养了严谨求证、用证据支撑结论的科学态度。感谢老师一学期以来的悉心指导，我将在今后的学习与工作中持续提升大数据分析能力，把所学方法应用于更广泛的实际问题。</w:t>
      </w:r>
    </w:p>
    <w:p>
      <w:r>
        <w:br w:type="page"/>
      </w:r>
    </w:p>
    <w:p>
      <w:pPr>
        <w:pStyle w:val="Heading1"/>
      </w:pPr>
      <w:r>
        <w:rPr>
          <w:rFonts w:ascii="SimSun" w:cs="SimSun" w:eastAsia="SimSun" w:hAnsi="SimSun"/>
          <w:b/>
          <w:bCs/>
        </w:rPr>
        <w:t xml:space="preserve">学习心得（二）</w:t>
      </w:r>
    </w:p>
    <w:p>
      <w:pPr>
        <w:spacing w:line="360"/>
        <w:ind w:firstLine="480"/>
      </w:pPr>
      <w:r>
        <w:rPr>
          <w:rFonts w:ascii="SimSun" w:cs="SimSun" w:eastAsia="SimSun" w:hAnsi="SimSun"/>
          <w:sz w:val="24"/>
          <w:szCs w:val="24"/>
        </w:rPr>
        <w:t xml:space="preserve">回顾本学期《大数据基础与应用》课程的学习历程，我深感收获颇丰。从最初的货币时间价值与盈亏平衡分析，到后来的Cobb-Douglas生产函数、Chebyshev多项式拟合以及人工神经网络，每一部分内容都让我对数据分析方法有了更具体的认知，也让我逐步意识到：好的分析不是堆砌技术，而是针对问题选择最合适的工具。</w:t>
      </w:r>
    </w:p>
    <w:p>
      <w:pPr>
        <w:spacing w:line="360"/>
        <w:ind w:firstLine="480"/>
      </w:pPr>
      <w:r>
        <w:rPr>
          <w:rFonts w:ascii="SimSun" w:cs="SimSun" w:eastAsia="SimSun" w:hAnsi="SimSun"/>
          <w:sz w:val="24"/>
          <w:szCs w:val="24"/>
        </w:rPr>
        <w:t xml:space="preserve">在本次期末报告中，我主要负责数据获取与清洗、模型参数估计以及结果可视化等环节。通过世界银行API获取日本1990—2022年的宏观经济数据，我第一次完整经历了从原始数据到最终结论的全流程。数据清洗过程中，我注意到不同年份的指标口径可能存在细微差异，必须仔细核对单位与定义，这让我深刻体会到「垃圾进、垃圾出」的道理——数据质量直接决定分析结论的可靠性。</w:t>
      </w:r>
    </w:p>
    <w:p>
      <w:pPr>
        <w:spacing w:line="360"/>
        <w:ind w:firstLine="480"/>
      </w:pPr>
      <w:r>
        <w:rPr>
          <w:rFonts w:ascii="SimSun" w:cs="SimSun" w:eastAsia="SimSun" w:hAnsi="SimSun"/>
          <w:sz w:val="24"/>
          <w:szCs w:val="24"/>
        </w:rPr>
        <w:t xml:space="preserve">在模型拟合方面，三种Cobb-Douglas模型的对比给我留下了深刻印象。CD2模型仅用资本和劳动两个变量，R²仅为0.4668，几乎无法解释日本GDP的变动；而引入线性时间趋势的CD3模型R²跃升至0.9149，再加入二次趋势的CD4模型更是达到0.9807。这一过程让我直观感受到：模型设定的改进往往比算法优化更为关键，对研究对象的深入理解才是提升模型质量的根本途径。</w:t>
      </w:r>
    </w:p>
    <w:p>
      <w:pPr>
        <w:spacing w:line="360"/>
        <w:ind w:firstLine="480"/>
      </w:pPr>
      <w:r>
        <w:rPr>
          <w:rFonts w:ascii="SimSun" w:cs="SimSun" w:eastAsia="SimSun" w:hAnsi="SimSun"/>
          <w:sz w:val="24"/>
          <w:szCs w:val="24"/>
        </w:rPr>
        <w:t xml:space="preserve">编程实践中，我最大的收获是学会了利用Python科学计算生态进行高效的实证分析。NumPy的数组运算、SciPy的非线性优化、Matplotlib的可视化输出，三者配合使得原本繁琐的计算过程变得简洁流畅。特别是curve_fit函数的随机多初值策略，有效规避了非线性优化中常见的局部最优问题，让我可以将更多精力投入到结果解读与经济学分析中。</w:t>
      </w:r>
    </w:p>
    <w:p>
      <w:pPr>
        <w:spacing w:line="360"/>
        <w:ind w:firstLine="480"/>
      </w:pPr>
      <w:r>
        <w:rPr>
          <w:rFonts w:ascii="SimSun" w:cs="SimSun" w:eastAsia="SimSun" w:hAnsi="SimSun"/>
          <w:sz w:val="24"/>
          <w:szCs w:val="24"/>
        </w:rPr>
        <w:t xml:space="preserve">从结果解读的角度来看，日本劳动弹性为负（β=−0.3578）这一发现引人深思。它并非意味着劳动本身对产出没有贡献，而是在控制了资本投入与技术进步之后，劳动力数量的边际贡献已趋于下降——这恰恰是日本人口老龄化、劳动力结构恶化的真实写照。这让我认识到，统计结果必须结合现实背景才能得到合理的解释，单纯追求高R²而忽视经济学含义，是本末倒置的做法。</w:t>
      </w:r>
    </w:p>
    <w:p>
      <w:pPr>
        <w:spacing w:line="360"/>
        <w:ind w:firstLine="480"/>
      </w:pPr>
      <w:r>
        <w:rPr>
          <w:rFonts w:ascii="SimSun" w:cs="SimSun" w:eastAsia="SimSun" w:hAnsi="SimSun"/>
          <w:sz w:val="24"/>
          <w:szCs w:val="24"/>
        </w:rPr>
        <w:t xml:space="preserve">当然，我也清楚地认识到本次研究的不足之处：时间趋势项只是对技术进步的粗略近似，未纳入研发投入、人力资本质量等更具体的变量；Cobb-Douglas函数隐含的要素替代弹性恒为1的假设也未必符合现实。这些不足既是我当前能力的局限，也是未来努力的方向。感谢老师一学期以来的耐心指导与悉心传授，我将在今后的学习中继续夯实基础、拓展视野，努力将大数据分析方法运用到更多实际问题中去。</w:t>
      </w:r>
    </w:p>
    <w:sectPr>
      <w:footerReference w:type="default" r:id="rId7"/>
      <w:pgSz w:w="11906" w:h="16838" w:orient="portrait"/>
      <w:pgMar w:top="1417" w:right="1417" w:bottom="1417"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Sun" w:cs="SimSun" w:eastAsia="SimSun" w:hAnsi="SimSu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80" w:before="360" w:line="360"/>
      <w:outlineLvl w:val="0"/>
    </w:pPr>
    <w:rPr>
      <w:rFonts w:ascii="SimSun" w:cs="SimSun" w:eastAsia="SimSun" w:hAnsi="SimSun"/>
      <w:b/>
      <w:bCs/>
      <w:sz w:val="28"/>
      <w:szCs w:val="28"/>
    </w:rPr>
  </w:style>
  <w:style w:type="paragraph" w:styleId="Heading2">
    <w:name w:val="Heading 2"/>
    <w:basedOn w:val="Normal"/>
    <w:next w:val="Normal"/>
    <w:pPr>
      <w:spacing w:after="120" w:before="240" w:line="360"/>
      <w:outlineLvl w:val="1"/>
    </w:pPr>
    <w:rPr>
      <w:rFonts w:ascii="SimSun" w:cs="SimSun" w:eastAsia="SimSun" w:hAnsi="SimSu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e7c766a935fa98969f07bf7ce8e48202d0e21302.png"/><Relationship Id="rId9" Type="http://schemas.openxmlformats.org/officeDocument/2006/relationships/image" Target="media/da2790cdc313fbc6d5dffabdb092a61768cc1d66.png"/><Relationship Id="rId10" Type="http://schemas.openxmlformats.org/officeDocument/2006/relationships/image" Target="media/e539326b4af9e12f04ba42ba82fd17f1054f1ace.png"/><Relationship Id="rId11" Type="http://schemas.openxmlformats.org/officeDocument/2006/relationships/image" Target="media/5d669cba69b4dde5ce8fe177ed382c40f103aec2.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2026-06-03T11:27:32.786Z</dcterms:created>
  <dcterms:modified xsi:type="dcterms:W3CDTF">2026-06-03T11:27:32.786Z</dcterms:modified>
</cp:coreProperties>
</file>

<file path=docProps/custom.xml><?xml version="1.0" encoding="utf-8"?>
<Properties xmlns="http://schemas.openxmlformats.org/officeDocument/2006/custom-properties" xmlns:vt="http://schemas.openxmlformats.org/officeDocument/2006/docPropsVTypes"/>
</file>