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before="240" w:after="120"/>
      </w:pPr>
      <w:r>
        <w:rPr>
          <w:b/>
          <w:sz w:val="28"/>
          <w:rFonts w:eastAsia="黑体" w:ascii="Times New Roman" w:hAnsi="Times New Roman"/>
        </w:rPr>
        <w:t>3.2  模型设计</w:t>
      </w:r>
    </w:p>
    <w:p>
      <w:pPr>
        <w:spacing w:before="40" w:after="40" w:line="360" w:lineRule="auto"/>
        <w:ind w:firstLineChars="200" w:firstLine="420"/>
      </w:pPr>
      <w:r>
        <w:rPr>
          <w:b w:val="0"/>
          <w:sz w:val="21"/>
          <w:rFonts w:eastAsia="宋体" w:ascii="Times New Roman" w:hAnsi="Times New Roman"/>
        </w:rPr>
        <w:t>针对京东电商场景下用户行为高度稀疏、商品属性多源异构以及对推荐结果可解释性的需求, 本文设计了一个由 5 个模块组成的端到端推荐模型, 其整体架构如图 3.1 所示。5 个模块按数据流先后依次为: 数据输入与预处理模块、用户行为序列编码模块、商品属性编码模块、评分预测与训练模块, 以及推荐输出与展示模块。各模块功能解耦、接口清晰: 前两个模块负责把原始 CSV 数据转化为定长的内部 ID 序列与商品多源属性向量, 中间两个模块基于 SASRec 自注意力机制与 ItemAttrMLP 完成用户表征学习与全量 Softmax 训练, 最后一个模块在推理阶段产出 Top-K 推荐列表与可解释的推荐理由, 并以 HTML Demo 形式对外展示, 实现了从原始日志到用户可见结果的完整闭环。</w:t>
      </w:r>
    </w:p>
    <w:p>
      <w:pPr>
        <w:spacing w:before="120" w:after="40"/>
        <w:jc w:val="center"/>
      </w:pPr>
      <w:r>
        <w:drawing>
          <wp:inline xmlns:a="http://schemas.openxmlformats.org/drawingml/2006/main" xmlns:pic="http://schemas.openxmlformats.org/drawingml/2006/picture">
            <wp:extent cx="5040000" cy="8444656"/>
            <wp:docPr id="1" name="Picture 1"/>
            <wp:cNvGraphicFramePr>
              <a:graphicFrameLocks noChangeAspect="1"/>
            </wp:cNvGraphicFramePr>
            <a:graphic>
              <a:graphicData uri="http://schemas.openxmlformats.org/drawingml/2006/picture">
                <pic:pic>
                  <pic:nvPicPr>
                    <pic:cNvPr id="0" name="3-1-overall.png"/>
                    <pic:cNvPicPr/>
                  </pic:nvPicPr>
                  <pic:blipFill>
                    <a:blip r:embed="rId9"/>
                    <a:stretch>
                      <a:fillRect/>
                    </a:stretch>
                  </pic:blipFill>
                  <pic:spPr>
                    <a:xfrm>
                      <a:off x="0" y="0"/>
                      <a:ext cx="5040000" cy="8444656"/>
                    </a:xfrm>
                    <a:prstGeom prst="rect"/>
                  </pic:spPr>
                </pic:pic>
              </a:graphicData>
            </a:graphic>
          </wp:inline>
        </w:drawing>
      </w:r>
    </w:p>
    <w:p>
      <w:pPr>
        <w:spacing w:before="40" w:after="160"/>
        <w:jc w:val="center"/>
      </w:pPr>
      <w:r>
        <w:rPr>
          <w:b/>
          <w:sz w:val="21"/>
          <w:rFonts w:eastAsia="黑体" w:ascii="Times New Roman" w:hAnsi="Times New Roman"/>
        </w:rPr>
        <w:t>图 3.1  系统整体架构与模块联动示意</w:t>
      </w:r>
    </w:p>
    <w:p>
      <w:pPr>
        <w:spacing w:before="240" w:after="120"/>
      </w:pPr>
      <w:r>
        <w:rPr>
          <w:b/>
          <w:sz w:val="20"/>
          <w:rFonts w:eastAsia="黑体" w:ascii="Times New Roman" w:hAnsi="Times New Roman"/>
        </w:rPr>
        <w:t>3.2.1  数据输入与预处理模块</w:t>
      </w:r>
    </w:p>
    <w:p>
      <w:pPr>
        <w:spacing w:before="40" w:after="40" w:line="360" w:lineRule="auto"/>
        <w:ind w:firstLineChars="200" w:firstLine="420"/>
      </w:pPr>
      <w:r>
        <w:rPr>
          <w:b w:val="0"/>
          <w:sz w:val="21"/>
          <w:rFonts w:eastAsia="宋体" w:ascii="Times New Roman" w:hAnsi="Times New Roman"/>
        </w:rPr>
        <w:t>该模块是整个模型的数据底座, 目标是把京东 JData 数据集中分散在多份 CSV 中的原始日志, 整理为后续序列建模所需的两类核心结构——用户行为序列字典 user_sequences 与覆盖全部商品的特征表 product_features.csv。考虑到原始行为日志总规模约 5,060 万行, 跨度三个月, 模块在设计时同时兼顾正确性与内存友好。</w:t>
      </w:r>
    </w:p>
    <w:p>
      <w:pPr>
        <w:spacing w:before="120" w:after="40"/>
      </w:pPr>
      <w:r>
        <w:rPr>
          <w:b/>
          <w:sz w:val="21"/>
          <w:rFonts w:eastAsia="黑体" w:ascii="Times New Roman" w:hAnsi="Times New Roman"/>
        </w:rPr>
        <w:t>（1）数据来源与字段</w:t>
      </w:r>
    </w:p>
    <w:p>
      <w:pPr>
        <w:spacing w:before="40" w:after="40" w:line="360" w:lineRule="auto"/>
        <w:ind w:firstLineChars="200" w:firstLine="420"/>
      </w:pPr>
      <w:r>
        <w:rPr>
          <w:b w:val="0"/>
          <w:sz w:val="21"/>
          <w:rFonts w:eastAsia="宋体" w:ascii="Times New Roman" w:hAnsi="Times New Roman"/>
        </w:rPr>
        <w:t>模块输入由四类原始文件组成: 三份月度行为日志 JData_Action_2016{02,03,04}.csv (共 50,601,736 条记录, 约 2.14 GB)、商品属性表 JData_Product.csv (24,187 行)、商品评论统计表 JData_Comment.csv (558,552 行) 与用户基本信息表 JData_User.csv (105,321 行)。各文件的关键字段如表 3.1 所示。</w:t>
      </w:r>
    </w:p>
    <w:p>
      <w:pPr>
        <w:spacing w:before="120" w:after="60"/>
        <w:jc w:val="center"/>
      </w:pPr>
      <w:r>
        <w:rPr>
          <w:b/>
          <w:sz w:val="21"/>
          <w:rFonts w:eastAsia="黑体" w:ascii="Times New Roman" w:hAnsi="Times New Roman"/>
        </w:rPr>
        <w:t>表 3.1  数据输入与预处理模块的来源文件与字段</w:t>
      </w:r>
    </w:p>
    <w:tbl>
      <w:tblPr>
        <w:tblW w:type="auto" w:w="0"/>
        <w:jc w:val="center"/>
        <w:tblLayout w:type="fixed"/>
        <w:tblLook w:firstColumn="1" w:firstRow="1" w:lastColumn="0" w:lastRow="0" w:noHBand="0" w:noVBand="1" w:val="04A0"/>
      </w:tblPr>
      <w:tblGrid>
        <w:gridCol w:w="2880"/>
        <w:gridCol w:w="2880"/>
        <w:gridCol w:w="2880"/>
      </w:tblGrid>
      <w:tr>
        <w:tc>
          <w:tcPr>
            <w:tcW w:type="dxa" w:w="2381"/>
            <w:vAlign w:val="center"/>
            <w:tcBorders>
              <w:top w:val="single" w:sz="12" w:space="0" w:color="000000"/>
              <w:bottom w:val="single" w:sz="6" w:space="0" w:color="000000"/>
              <w:left w:val="nil"/>
              <w:right w:val="nil"/>
            </w:tcBorders>
          </w:tcPr>
          <w:p>
            <w:pPr>
              <w:jc w:val="center"/>
            </w:pPr>
            <w:r/>
            <w:r>
              <w:rPr>
                <w:b/>
                <w:sz w:val="21"/>
                <w:rFonts w:eastAsia="黑体" w:ascii="Times New Roman" w:hAnsi="Times New Roman"/>
              </w:rPr>
              <w:t>来源文件</w:t>
            </w:r>
          </w:p>
        </w:tc>
        <w:tc>
          <w:tcPr>
            <w:tcW w:type="dxa" w:w="3969"/>
            <w:vAlign w:val="center"/>
            <w:tcBorders>
              <w:top w:val="single" w:sz="12" w:space="0" w:color="000000"/>
              <w:bottom w:val="single" w:sz="6" w:space="0" w:color="000000"/>
              <w:left w:val="nil"/>
              <w:right w:val="nil"/>
            </w:tcBorders>
          </w:tcPr>
          <w:p>
            <w:pPr>
              <w:jc w:val="center"/>
            </w:pPr>
            <w:r/>
            <w:r>
              <w:rPr>
                <w:b/>
                <w:sz w:val="21"/>
                <w:rFonts w:eastAsia="黑体" w:ascii="Times New Roman" w:hAnsi="Times New Roman"/>
              </w:rPr>
              <w:t>关键字段</w:t>
            </w:r>
          </w:p>
        </w:tc>
        <w:tc>
          <w:tcPr>
            <w:tcW w:type="dxa" w:w="2551"/>
            <w:vAlign w:val="center"/>
            <w:tcBorders>
              <w:top w:val="single" w:sz="12" w:space="0" w:color="000000"/>
              <w:bottom w:val="single" w:sz="6" w:space="0" w:color="000000"/>
              <w:left w:val="nil"/>
              <w:right w:val="nil"/>
            </w:tcBorders>
          </w:tcPr>
          <w:p>
            <w:pPr>
              <w:jc w:val="center"/>
            </w:pPr>
            <w:r/>
            <w:r>
              <w:rPr>
                <w:b/>
                <w:sz w:val="21"/>
                <w:rFonts w:eastAsia="黑体" w:ascii="Times New Roman" w:hAnsi="Times New Roman"/>
              </w:rPr>
              <w:t>用途</w:t>
            </w:r>
          </w:p>
        </w:tc>
      </w:tr>
      <w:tr>
        <w:tc>
          <w:tcPr>
            <w:tcW w:type="dxa" w:w="2381"/>
            <w:vAlign w:val="center"/>
            <w:tcBorders>
              <w:top w:val="nil"/>
              <w:bottom w:val="nil"/>
              <w:left w:val="nil"/>
              <w:right w:val="nil"/>
            </w:tcBorders>
          </w:tcPr>
          <w:p>
            <w:pPr>
              <w:jc w:val="center"/>
            </w:pPr>
            <w:r/>
            <w:r>
              <w:rPr>
                <w:b w:val="0"/>
                <w:sz w:val="21"/>
                <w:rFonts w:eastAsia="宋体" w:ascii="Times New Roman" w:hAnsi="Times New Roman"/>
              </w:rPr>
              <w:t>Action_2016*.csv</w:t>
            </w:r>
          </w:p>
        </w:tc>
        <w:tc>
          <w:tcPr>
            <w:tcW w:type="dxa" w:w="3969"/>
            <w:vAlign w:val="center"/>
            <w:tcBorders>
              <w:top w:val="nil"/>
              <w:bottom w:val="nil"/>
              <w:left w:val="nil"/>
              <w:right w:val="nil"/>
            </w:tcBorders>
          </w:tcPr>
          <w:p>
            <w:pPr>
              <w:jc w:val="center"/>
            </w:pPr>
            <w:r/>
            <w:r>
              <w:rPr>
                <w:b w:val="0"/>
                <w:sz w:val="21"/>
                <w:rFonts w:eastAsia="宋体" w:ascii="Times New Roman" w:hAnsi="Times New Roman"/>
              </w:rPr>
              <w:t>user_id, sku_id, time, type, cate, brand</w:t>
            </w:r>
          </w:p>
        </w:tc>
        <w:tc>
          <w:tcPr>
            <w:tcW w:type="dxa" w:w="2551"/>
            <w:vAlign w:val="center"/>
            <w:tcBorders>
              <w:top w:val="nil"/>
              <w:bottom w:val="nil"/>
              <w:left w:val="nil"/>
              <w:right w:val="nil"/>
            </w:tcBorders>
          </w:tcPr>
          <w:p>
            <w:pPr>
              <w:jc w:val="center"/>
            </w:pPr>
            <w:r/>
            <w:r>
              <w:rPr>
                <w:b w:val="0"/>
                <w:sz w:val="21"/>
                <w:rFonts w:eastAsia="宋体" w:ascii="Times New Roman" w:hAnsi="Times New Roman"/>
              </w:rPr>
              <w:t>构建用户行为序列</w:t>
            </w:r>
          </w:p>
        </w:tc>
      </w:tr>
      <w:tr>
        <w:tc>
          <w:tcPr>
            <w:tcW w:type="dxa" w:w="2381"/>
            <w:vAlign w:val="center"/>
            <w:tcBorders>
              <w:top w:val="nil"/>
              <w:bottom w:val="nil"/>
              <w:left w:val="nil"/>
              <w:right w:val="nil"/>
            </w:tcBorders>
          </w:tcPr>
          <w:p>
            <w:pPr>
              <w:jc w:val="center"/>
            </w:pPr>
            <w:r/>
            <w:r>
              <w:rPr>
                <w:b w:val="0"/>
                <w:sz w:val="21"/>
                <w:rFonts w:eastAsia="宋体" w:ascii="Times New Roman" w:hAnsi="Times New Roman"/>
              </w:rPr>
              <w:t>Product.csv</w:t>
            </w:r>
          </w:p>
        </w:tc>
        <w:tc>
          <w:tcPr>
            <w:tcW w:type="dxa" w:w="3969"/>
            <w:vAlign w:val="center"/>
            <w:tcBorders>
              <w:top w:val="nil"/>
              <w:bottom w:val="nil"/>
              <w:left w:val="nil"/>
              <w:right w:val="nil"/>
            </w:tcBorders>
          </w:tcPr>
          <w:p>
            <w:pPr>
              <w:jc w:val="center"/>
            </w:pPr>
            <w:r/>
            <w:r>
              <w:rPr>
                <w:b w:val="0"/>
                <w:sz w:val="21"/>
                <w:rFonts w:eastAsia="宋体" w:ascii="Times New Roman" w:hAnsi="Times New Roman"/>
              </w:rPr>
              <w:t>sku_id, a1, a2, a3, cate, brand</w:t>
            </w:r>
          </w:p>
        </w:tc>
        <w:tc>
          <w:tcPr>
            <w:tcW w:type="dxa" w:w="2551"/>
            <w:vAlign w:val="center"/>
            <w:tcBorders>
              <w:top w:val="nil"/>
              <w:bottom w:val="nil"/>
              <w:left w:val="nil"/>
              <w:right w:val="nil"/>
            </w:tcBorders>
          </w:tcPr>
          <w:p>
            <w:pPr>
              <w:jc w:val="center"/>
            </w:pPr>
            <w:r/>
            <w:r>
              <w:rPr>
                <w:b w:val="0"/>
                <w:sz w:val="21"/>
                <w:rFonts w:eastAsia="宋体" w:ascii="Times New Roman" w:hAnsi="Times New Roman"/>
              </w:rPr>
              <w:t>商品离散属性</w:t>
            </w:r>
          </w:p>
        </w:tc>
      </w:tr>
      <w:tr>
        <w:tc>
          <w:tcPr>
            <w:tcW w:type="dxa" w:w="2381"/>
            <w:vAlign w:val="center"/>
            <w:tcBorders>
              <w:top w:val="nil"/>
              <w:bottom w:val="nil"/>
              <w:left w:val="nil"/>
              <w:right w:val="nil"/>
            </w:tcBorders>
          </w:tcPr>
          <w:p>
            <w:pPr>
              <w:jc w:val="center"/>
            </w:pPr>
            <w:r/>
            <w:r>
              <w:rPr>
                <w:b w:val="0"/>
                <w:sz w:val="21"/>
                <w:rFonts w:eastAsia="宋体" w:ascii="Times New Roman" w:hAnsi="Times New Roman"/>
              </w:rPr>
              <w:t>Comment.csv</w:t>
            </w:r>
          </w:p>
        </w:tc>
        <w:tc>
          <w:tcPr>
            <w:tcW w:type="dxa" w:w="3969"/>
            <w:vAlign w:val="center"/>
            <w:tcBorders>
              <w:top w:val="nil"/>
              <w:bottom w:val="nil"/>
              <w:left w:val="nil"/>
              <w:right w:val="nil"/>
            </w:tcBorders>
          </w:tcPr>
          <w:p>
            <w:pPr>
              <w:jc w:val="center"/>
            </w:pPr>
            <w:r/>
            <w:r>
              <w:rPr>
                <w:b w:val="0"/>
                <w:sz w:val="21"/>
                <w:rFonts w:eastAsia="宋体" w:ascii="Times New Roman" w:hAnsi="Times New Roman"/>
              </w:rPr>
              <w:t>sku_id, dt, comment_num, bad_comment_rate</w:t>
            </w:r>
          </w:p>
        </w:tc>
        <w:tc>
          <w:tcPr>
            <w:tcW w:type="dxa" w:w="2551"/>
            <w:vAlign w:val="center"/>
            <w:tcBorders>
              <w:top w:val="nil"/>
              <w:bottom w:val="nil"/>
              <w:left w:val="nil"/>
              <w:right w:val="nil"/>
            </w:tcBorders>
          </w:tcPr>
          <w:p>
            <w:pPr>
              <w:jc w:val="center"/>
            </w:pPr>
            <w:r/>
            <w:r>
              <w:rPr>
                <w:b w:val="0"/>
                <w:sz w:val="21"/>
                <w:rFonts w:eastAsia="宋体" w:ascii="Times New Roman" w:hAnsi="Times New Roman"/>
              </w:rPr>
              <w:t>商品评论数等级</w:t>
            </w:r>
          </w:p>
        </w:tc>
      </w:tr>
      <w:tr>
        <w:tc>
          <w:tcPr>
            <w:tcW w:type="dxa" w:w="2381"/>
            <w:vAlign w:val="center"/>
            <w:tcBorders>
              <w:top w:val="nil"/>
              <w:bottom w:val="single" w:sz="12" w:space="0" w:color="000000"/>
              <w:left w:val="nil"/>
              <w:right w:val="nil"/>
            </w:tcBorders>
          </w:tcPr>
          <w:p>
            <w:pPr>
              <w:jc w:val="center"/>
            </w:pPr>
            <w:r/>
            <w:r>
              <w:rPr>
                <w:b w:val="0"/>
                <w:sz w:val="21"/>
                <w:rFonts w:eastAsia="宋体" w:ascii="Times New Roman" w:hAnsi="Times New Roman"/>
              </w:rPr>
              <w:t>User.csv</w:t>
            </w:r>
          </w:p>
        </w:tc>
        <w:tc>
          <w:tcPr>
            <w:tcW w:type="dxa" w:w="3969"/>
            <w:vAlign w:val="center"/>
            <w:tcBorders>
              <w:top w:val="nil"/>
              <w:bottom w:val="single" w:sz="12" w:space="0" w:color="000000"/>
              <w:left w:val="nil"/>
              <w:right w:val="nil"/>
            </w:tcBorders>
          </w:tcPr>
          <w:p>
            <w:pPr>
              <w:jc w:val="center"/>
            </w:pPr>
            <w:r/>
            <w:r>
              <w:rPr>
                <w:b w:val="0"/>
                <w:sz w:val="21"/>
                <w:rFonts w:eastAsia="宋体" w:ascii="Times New Roman" w:hAnsi="Times New Roman"/>
              </w:rPr>
              <w:t>user_id, age, sex, user_lv_cd</w:t>
            </w:r>
          </w:p>
        </w:tc>
        <w:tc>
          <w:tcPr>
            <w:tcW w:type="dxa" w:w="2551"/>
            <w:vAlign w:val="center"/>
            <w:tcBorders>
              <w:top w:val="nil"/>
              <w:bottom w:val="single" w:sz="12" w:space="0" w:color="000000"/>
              <w:left w:val="nil"/>
              <w:right w:val="nil"/>
            </w:tcBorders>
          </w:tcPr>
          <w:p>
            <w:pPr>
              <w:jc w:val="center"/>
            </w:pPr>
            <w:r/>
            <w:r>
              <w:rPr>
                <w:b w:val="0"/>
                <w:sz w:val="21"/>
                <w:rFonts w:eastAsia="宋体" w:ascii="Times New Roman" w:hAnsi="Times New Roman"/>
              </w:rPr>
              <w:t>用户画像 (本模型未使用)</w:t>
            </w:r>
          </w:p>
        </w:tc>
      </w:tr>
    </w:tbl>
    <w:p/>
    <w:p>
      <w:pPr>
        <w:spacing w:before="120" w:after="40"/>
      </w:pPr>
      <w:r>
        <w:rPr>
          <w:b/>
          <w:sz w:val="21"/>
          <w:rFonts w:eastAsia="黑体" w:ascii="Times New Roman" w:hAnsi="Times New Roman"/>
        </w:rPr>
        <w:t>（2）预处理流程</w:t>
      </w:r>
    </w:p>
    <w:p>
      <w:pPr>
        <w:spacing w:before="40" w:after="40" w:line="360" w:lineRule="auto"/>
        <w:ind w:firstLineChars="200" w:firstLine="420"/>
      </w:pPr>
      <w:r>
        <w:rPr>
          <w:b w:val="0"/>
          <w:sz w:val="21"/>
          <w:rFonts w:eastAsia="宋体" w:ascii="Times New Roman" w:hAnsi="Times New Roman"/>
        </w:rPr>
        <w:t>模块按图 3.2 所示的流程对原始数据做处理。行为日志一侧依次执行三月日志合并、缺失值清洗、购买用户过滤、按时间排序、连续重复商品去抖、用户与商品 ID 重新编号 (item 从 1 起以便保留 0 给 padding) 以及序列长度 ≥ 3 的过滤; 商品属性一侧则对 Product 与 Comment 按 sku_id 合并, 对评论数据按 dt 取每件商品最新一条, 并对缺失值统一填零; 考虑到 Product 表仅覆盖约 14% 的商品, 还额外利用行为日志中的 cate / brand 对剩余商品进行补全, 使最终的商品特征表覆盖率达 100%。</w:t>
      </w:r>
    </w:p>
    <w:p>
      <w:pPr>
        <w:spacing w:before="120" w:after="40"/>
        <w:jc w:val="center"/>
      </w:pPr>
      <w:r>
        <w:drawing>
          <wp:inline xmlns:a="http://schemas.openxmlformats.org/drawingml/2006/main" xmlns:pic="http://schemas.openxmlformats.org/drawingml/2006/picture">
            <wp:extent cx="5400000" cy="5958895"/>
            <wp:docPr id="2" name="Picture 2"/>
            <wp:cNvGraphicFramePr>
              <a:graphicFrameLocks noChangeAspect="1"/>
            </wp:cNvGraphicFramePr>
            <a:graphic>
              <a:graphicData uri="http://schemas.openxmlformats.org/drawingml/2006/picture">
                <pic:pic>
                  <pic:nvPicPr>
                    <pic:cNvPr id="0" name="3-2-preprocess.png"/>
                    <pic:cNvPicPr/>
                  </pic:nvPicPr>
                  <pic:blipFill>
                    <a:blip r:embed="rId10"/>
                    <a:stretch>
                      <a:fillRect/>
                    </a:stretch>
                  </pic:blipFill>
                  <pic:spPr>
                    <a:xfrm>
                      <a:off x="0" y="0"/>
                      <a:ext cx="5400000" cy="5958895"/>
                    </a:xfrm>
                    <a:prstGeom prst="rect"/>
                  </pic:spPr>
                </pic:pic>
              </a:graphicData>
            </a:graphic>
          </wp:inline>
        </w:drawing>
      </w:r>
    </w:p>
    <w:p>
      <w:pPr>
        <w:spacing w:before="40" w:after="160"/>
        <w:jc w:val="center"/>
      </w:pPr>
      <w:r>
        <w:rPr>
          <w:b/>
          <w:sz w:val="21"/>
          <w:rFonts w:eastAsia="黑体" w:ascii="Times New Roman" w:hAnsi="Times New Roman"/>
        </w:rPr>
        <w:t>图 3.2  数据预处理流程及各阶段数据规模</w:t>
      </w:r>
    </w:p>
    <w:p>
      <w:pPr>
        <w:spacing w:before="120" w:after="40"/>
      </w:pPr>
      <w:r>
        <w:rPr>
          <w:b/>
          <w:sz w:val="21"/>
          <w:rFonts w:eastAsia="黑体" w:ascii="Times New Roman" w:hAnsi="Times New Roman"/>
        </w:rPr>
        <w:t>（3）数据样例与字段转换</w:t>
      </w:r>
    </w:p>
    <w:p>
      <w:pPr>
        <w:spacing w:before="40" w:after="40" w:line="360" w:lineRule="auto"/>
        <w:ind w:firstLineChars="200" w:firstLine="420"/>
      </w:pPr>
      <w:r>
        <w:rPr>
          <w:b w:val="0"/>
          <w:sz w:val="21"/>
          <w:rFonts w:eastAsia="宋体" w:ascii="Times New Roman" w:hAnsi="Times New Roman"/>
        </w:rPr>
        <w:t>为更直观地展示数据在各阶段的形态变化, 图 3.3 给出了具有代表性的样例。原始行为日志中 user_id 因 NaN 被 pandas 推断为 float 类型, time 是字符串; 经过 dropna 和类型转换之后, 所有 ID 字段变为 int, time 变为 datetime; 再按用户分组并去除连续重复后, 即得到每位用户的去抖行为序列, 并通过 item2id 重新映射为从 1 起的连续整数, 最终连同商品特征表一起保存到 output/ 目录。</w:t>
      </w:r>
    </w:p>
    <w:p>
      <w:pPr>
        <w:spacing w:before="120" w:after="40"/>
        <w:jc w:val="center"/>
      </w:pPr>
      <w:r>
        <w:drawing>
          <wp:inline xmlns:a="http://schemas.openxmlformats.org/drawingml/2006/main" xmlns:pic="http://schemas.openxmlformats.org/drawingml/2006/picture">
            <wp:extent cx="5580000" cy="3689427"/>
            <wp:docPr id="3" name="Picture 3"/>
            <wp:cNvGraphicFramePr>
              <a:graphicFrameLocks noChangeAspect="1"/>
            </wp:cNvGraphicFramePr>
            <a:graphic>
              <a:graphicData uri="http://schemas.openxmlformats.org/drawingml/2006/picture">
                <pic:pic>
                  <pic:nvPicPr>
                    <pic:cNvPr id="0" name="3-3-data-example.png"/>
                    <pic:cNvPicPr/>
                  </pic:nvPicPr>
                  <pic:blipFill>
                    <a:blip r:embed="rId11"/>
                    <a:stretch>
                      <a:fillRect/>
                    </a:stretch>
                  </pic:blipFill>
                  <pic:spPr>
                    <a:xfrm>
                      <a:off x="0" y="0"/>
                      <a:ext cx="5580000" cy="3689427"/>
                    </a:xfrm>
                    <a:prstGeom prst="rect"/>
                  </pic:spPr>
                </pic:pic>
              </a:graphicData>
            </a:graphic>
          </wp:inline>
        </w:drawing>
      </w:r>
    </w:p>
    <w:p>
      <w:pPr>
        <w:spacing w:before="40" w:after="160"/>
        <w:jc w:val="center"/>
      </w:pPr>
      <w:r>
        <w:rPr>
          <w:b/>
          <w:sz w:val="21"/>
          <w:rFonts w:eastAsia="黑体" w:ascii="Times New Roman" w:hAnsi="Times New Roman"/>
        </w:rPr>
        <w:t>图 3.3  数据示例: 从原始日志到模型可读结构</w:t>
      </w:r>
    </w:p>
    <w:p>
      <w:pPr>
        <w:spacing w:before="120" w:after="40"/>
      </w:pPr>
      <w:r>
        <w:rPr>
          <w:b/>
          <w:sz w:val="21"/>
          <w:rFonts w:eastAsia="黑体" w:ascii="Times New Roman" w:hAnsi="Times New Roman"/>
        </w:rPr>
        <w:t>（4）输出与下游接口</w:t>
      </w:r>
    </w:p>
    <w:p>
      <w:pPr>
        <w:spacing w:before="40" w:after="40" w:line="360" w:lineRule="auto"/>
        <w:ind w:firstLineChars="200" w:firstLine="420"/>
      </w:pPr>
      <w:r>
        <w:rPr>
          <w:b w:val="0"/>
          <w:sz w:val="21"/>
          <w:rFonts w:eastAsia="宋体" w:ascii="Times New Roman" w:hAnsi="Times New Roman"/>
        </w:rPr>
        <w:t>模块的输出由两个文件构成。preprocessed.pkl 中以字典形式保存 user_sequences (29,271 条满足长度约束的序列)、user2id / item2id / id2user / id2item 双向映射, 以及 num_users (29,485) 与 num_items (23,738) 等元信息; product_features.csv 则保存23,738 件商品的 [sku_id, a1, a2, a3, cate, brand, comment_num] 七列特征。这两个文件分别作为 3.2.2 用户序列编码模块和 3.2.3 商品属性编码模块的直接输入, 从而把异构原始数据的处理负担集中在本模块, 后续模块只需面向规范化的张量进行运算。</w:t>
      </w:r>
    </w:p>
    <w:p>
      <w:pPr>
        <w:spacing w:before="240" w:after="120"/>
      </w:pPr>
      <w:r>
        <w:rPr>
          <w:b/>
          <w:sz w:val="20"/>
          <w:rFonts w:eastAsia="黑体" w:ascii="Times New Roman" w:hAnsi="Times New Roman"/>
        </w:rPr>
        <w:t>3.2.2  用户行为序列编码模块</w:t>
      </w:r>
    </w:p>
    <w:p>
      <w:pPr>
        <w:spacing w:before="40" w:after="40" w:line="360" w:lineRule="auto"/>
        <w:ind w:firstLineChars="200" w:firstLine="420"/>
      </w:pPr>
      <w:r>
        <w:rPr>
          <w:b w:val="0"/>
          <w:sz w:val="21"/>
          <w:rFonts w:eastAsia="宋体" w:ascii="Times New Roman" w:hAnsi="Times New Roman"/>
        </w:rPr>
        <w:t>该模块的作用是把用户的离散行为序列 [s₁, s₂, ..., s_L] 编码为定长稠密向量 u, 作为后续打分模块的用户表征。考虑到 GRU 类模型在长序列下存在梯度衰减问题, 本模型采用 SASRec (Self-Attentive Sequential Recommendation) 作为核心编码器, 通过堆叠 2 层带因果掩码的自注意力, 让模型同时显式建模长程依赖与最近行为, 整体编码流程如图 3.4 所示。</w:t>
      </w:r>
    </w:p>
    <w:p>
      <w:pPr>
        <w:spacing w:before="120" w:after="40"/>
      </w:pPr>
      <w:r>
        <w:rPr>
          <w:b/>
          <w:sz w:val="21"/>
          <w:rFonts w:eastAsia="黑体" w:ascii="Times New Roman" w:hAnsi="Times New Roman"/>
        </w:rPr>
        <w:t>（1）输入端: 嵌入与位置编码</w:t>
      </w:r>
    </w:p>
    <w:p>
      <w:pPr>
        <w:spacing w:before="40" w:after="40" w:line="360" w:lineRule="auto"/>
        <w:ind w:firstLineChars="200" w:firstLine="420"/>
      </w:pPr>
      <w:r>
        <w:rPr>
          <w:b w:val="0"/>
          <w:sz w:val="21"/>
          <w:rFonts w:eastAsia="宋体" w:ascii="Times New Roman" w:hAnsi="Times New Roman"/>
        </w:rPr>
        <w:t>对每个位置 i, 模块先分别查表得到商品嵌入 E_item[sᵢ] 与可学习的位置嵌入 E_pos[i] (各 128 维), 同时接收来自 3.2.3 节 ItemAttrMLP 的属性嵌入 E_attr[sᵢ], 三者相加后作为自注意力层的输入, 如式 (3-1) 所示。这种属性输入端注入策略使序列编码在第一层注意力时即可看到商品的品类/品牌信息, 比仅在打分阶段拼接属性更具表达力。</w:t>
      </w:r>
    </w:p>
    <w:p>
      <w:pPr>
        <w:spacing w:before="80" w:after="80"/>
        <w:jc w:val="center"/>
      </w:pPr>
      <m:oMath>
        <m:sSub>
          <m:e>
            <m:r>
              <m:t xml:space="preserve">x</m:t>
            </m:r>
          </m:e>
          <m:sub>
            <m:r>
              <m:t xml:space="preserve">i</m:t>
            </m:r>
          </m:sub>
        </m:sSub>
        <m:r>
          <m:t xml:space="preserve"> = </m:t>
        </m:r>
        <m:sSub>
          <m:e>
            <m:r>
              <m:t xml:space="preserve">E</m:t>
            </m:r>
          </m:e>
          <m:sub>
            <m:r>
              <m:rPr>
                <m:sty m:val="p"/>
              </m:rPr>
              <m:t xml:space="preserve">item</m:t>
            </m:r>
          </m:sub>
        </m:sSub>
        <m:r>
          <m:t xml:space="preserve">[</m:t>
        </m:r>
        <m:sSub>
          <m:e>
            <m:r>
              <m:t xml:space="preserve">s</m:t>
            </m:r>
          </m:e>
          <m:sub>
            <m:r>
              <m:t xml:space="preserve">i</m:t>
            </m:r>
          </m:sub>
        </m:sSub>
        <m:r>
          <m:t xml:space="preserve">] + </m:t>
        </m:r>
        <m:sSub>
          <m:e>
            <m:r>
              <m:t xml:space="preserve">E</m:t>
            </m:r>
          </m:e>
          <m:sub>
            <m:r>
              <m:rPr>
                <m:sty m:val="p"/>
              </m:rPr>
              <m:t xml:space="preserve">pos</m:t>
            </m:r>
          </m:sub>
        </m:sSub>
        <m:r>
          <m:t xml:space="preserve">[i] + </m:t>
        </m:r>
        <m:sSub>
          <m:e>
            <m:r>
              <m:t xml:space="preserve">E</m:t>
            </m:r>
          </m:e>
          <m:sub>
            <m:r>
              <m:rPr>
                <m:sty m:val="p"/>
              </m:rPr>
              <m:t xml:space="preserve">attr</m:t>
            </m:r>
          </m:sub>
        </m:sSub>
        <m:r>
          <m:t xml:space="preserve">[</m:t>
        </m:r>
        <m:sSub>
          <m:e>
            <m:r>
              <m:t xml:space="preserve">s</m:t>
            </m:r>
          </m:e>
          <m:sub>
            <m:r>
              <m:t xml:space="preserve">i</m:t>
            </m:r>
          </m:sub>
        </m:sSub>
        <m:r>
          <m:t xml:space="preserve">],   i = 1, 2, …, L</m:t>
        </m:r>
      </m:oMath>
      <w:r>
        <w:rPr>
          <w:b w:val="0"/>
          <w:sz w:val="21"/>
          <w:rFonts w:eastAsia="宋体" w:ascii="Times New Roman" w:hAnsi="Times New Roman"/>
        </w:rPr>
        <w:t xml:space="preserve">        (3-1)</w:t>
      </w:r>
    </w:p>
    <w:p>
      <w:pPr>
        <w:spacing w:before="120" w:after="40"/>
      </w:pPr>
      <w:r>
        <w:rPr>
          <w:b/>
          <w:sz w:val="21"/>
          <w:rFonts w:eastAsia="黑体" w:ascii="Times New Roman" w:hAnsi="Times New Roman"/>
        </w:rPr>
        <w:t>（2）自注意力层</w:t>
      </w:r>
    </w:p>
    <w:p>
      <w:pPr>
        <w:spacing w:before="40" w:after="40" w:line="360" w:lineRule="auto"/>
        <w:ind w:firstLineChars="200" w:firstLine="420"/>
      </w:pPr>
      <w:r>
        <w:rPr>
          <w:b w:val="0"/>
          <w:sz w:val="21"/>
          <w:rFonts w:eastAsia="宋体" w:ascii="Times New Roman" w:hAnsi="Times New Roman"/>
        </w:rPr>
        <w:t>本文采用 2 层结构相同 / 参数独立的自注意力层。对输入 X = [x₁, ..., x_L] ∈ ℝ^(L×d), 每层先用三个独立的线性变换得到 Query、Key、Value 三矩阵, 并按缩放点积计算注意力打分, 见式 (3-2)。</w:t>
      </w:r>
    </w:p>
    <w:p>
      <w:pPr>
        <w:spacing w:before="80" w:after="80"/>
        <w:jc w:val="center"/>
      </w:pPr>
      <m:oMath>
        <m:r>
          <m:t xml:space="preserve">Q = X </m:t>
        </m:r>
        <m:sSub>
          <m:e>
            <m:r>
              <m:t xml:space="preserve">W</m:t>
            </m:r>
          </m:e>
          <m:sub>
            <m:r>
              <m:t xml:space="preserve">q</m:t>
            </m:r>
          </m:sub>
        </m:sSub>
        <m:r>
          <m:t xml:space="preserve">,   </m:t>
        </m:r>
        <m:r>
          <m:t xml:space="preserve">K = X </m:t>
        </m:r>
        <m:sSub>
          <m:e>
            <m:r>
              <m:t xml:space="preserve">W</m:t>
            </m:r>
          </m:e>
          <m:sub>
            <m:r>
              <m:t xml:space="preserve">k</m:t>
            </m:r>
          </m:sub>
        </m:sSub>
        <m:r>
          <m:t xml:space="preserve">,   </m:t>
        </m:r>
        <m:r>
          <m:t xml:space="preserve">V = X </m:t>
        </m:r>
        <m:sSub>
          <m:e>
            <m:r>
              <m:t xml:space="preserve">W</m:t>
            </m:r>
          </m:e>
          <m:sub>
            <m:r>
              <m:t xml:space="preserve">v</m:t>
            </m:r>
          </m:sub>
        </m:sSub>
      </m:oMath>
      <w:r>
        <w:rPr>
          <w:b w:val="0"/>
          <w:sz w:val="21"/>
          <w:rFonts w:eastAsia="宋体" w:ascii="Times New Roman" w:hAnsi="Times New Roman"/>
        </w:rPr>
        <w:t xml:space="preserve">        (3-2)</w:t>
      </w:r>
    </w:p>
    <w:p>
      <w:pPr>
        <w:spacing w:before="80" w:after="80"/>
        <w:jc w:val="center"/>
      </w:pPr>
      <m:oMath>
        <m:r>
          <m:rPr>
            <m:sty m:val="p"/>
          </m:rPr>
          <m:t xml:space="preserve">Attention</m:t>
        </m:r>
        <m:r>
          <m:t xml:space="preserve">(</m:t>
        </m:r>
        <m:r>
          <m:t xml:space="preserve">Q</m:t>
        </m:r>
        <m:r>
          <m:t xml:space="preserve">, </m:t>
        </m:r>
        <m:r>
          <m:t xml:space="preserve">K</m:t>
        </m:r>
        <m:r>
          <m:t xml:space="preserve">, </m:t>
        </m:r>
        <m:r>
          <m:t xml:space="preserve">V</m:t>
        </m:r>
        <m:r>
          <m:t xml:space="preserve">) = </m:t>
        </m:r>
        <m:r>
          <m:rPr>
            <m:sty m:val="p"/>
          </m:rPr>
          <m:t xml:space="preserve">softmax</m:t>
        </m:r>
        <m:r>
          <m:t xml:space="preserve"> </m:t>
        </m:r>
        <m:f>
          <m:num>
            <m:r>
              <m:t xml:space="preserve">Q </m:t>
            </m:r>
            <m:sSup>
              <m:e>
                <m:r>
                  <m:t xml:space="preserve">K</m:t>
                </m:r>
              </m:e>
              <m:sup>
                <m:r>
                  <m:t xml:space="preserve">T</m:t>
                </m:r>
              </m:sup>
            </m:sSup>
          </m:num>
          <m:den>
            <m:rad>
              <m:radPr>
                <m:degHide m:val="1"/>
              </m:radPr>
              <m:deg/>
              <m:e>
                <m:r>
                  <m:t xml:space="preserve">d</m:t>
                </m:r>
              </m:e>
            </m:rad>
          </m:den>
        </m:f>
        <m:r>
          <m:t xml:space="preserve"> V</m:t>
        </m:r>
      </m:oMath>
      <w:r>
        <w:rPr>
          <w:b w:val="0"/>
          <w:sz w:val="21"/>
          <w:rFonts w:eastAsia="宋体" w:ascii="Times New Roman" w:hAnsi="Times New Roman"/>
        </w:rPr>
        <w:t xml:space="preserve">        (3-3)</w:t>
      </w:r>
    </w:p>
    <w:p>
      <w:pPr>
        <w:spacing w:before="40" w:after="40" w:line="360" w:lineRule="auto"/>
        <w:ind w:firstLineChars="200" w:firstLine="420"/>
      </w:pPr>
      <w:r>
        <w:rPr>
          <w:b w:val="0"/>
          <w:sz w:val="21"/>
          <w:rFonts w:eastAsia="宋体" w:ascii="Times New Roman" w:hAnsi="Times New Roman"/>
        </w:rPr>
        <w:t>为防止当前位置 i 看到未来位置 j &gt; i 的信息 (即避免标签泄漏), 在 softmax 之前对打分矩阵施加下三角因果掩码 M, 见式 (3-4)。掩码与 dropout、残差连接、LayerNorm 共同作用, 最终给出每个位置的上下文表征 H ∈ ℝ^(L×d)。</w:t>
      </w:r>
    </w:p>
    <w:p>
      <w:pPr>
        <w:spacing w:before="80" w:after="80"/>
        <w:jc w:val="center"/>
      </w:pPr>
      <m:oMath>
        <m:sSub>
          <m:e>
            <m:r>
              <m:t xml:space="preserve">M</m:t>
            </m:r>
          </m:e>
          <m:sub>
            <m:r>
              <m:t xml:space="preserve">i,j</m:t>
            </m:r>
          </m:sub>
        </m:sSub>
        <m:r>
          <m:t xml:space="preserve"> = 0  若 j ≤ i  否则 -∞;    </m:t>
        </m:r>
        <m:sSup>
          <m:e>
            <m:r>
              <m:t xml:space="preserve">score</m:t>
            </m:r>
          </m:e>
          <m:sup>
            <m:r>
              <m:t xml:space="preserve">'</m:t>
            </m:r>
          </m:sup>
        </m:sSup>
        <m:r>
          <m:t xml:space="preserve"> = </m:t>
        </m:r>
        <m:f>
          <m:num>
            <m:r>
              <m:t xml:space="preserve">Q </m:t>
            </m:r>
            <m:sSup>
              <m:e>
                <m:r>
                  <m:t xml:space="preserve">K</m:t>
                </m:r>
              </m:e>
              <m:sup>
                <m:r>
                  <m:t xml:space="preserve">T</m:t>
                </m:r>
              </m:sup>
            </m:sSup>
          </m:num>
          <m:den>
            <m:rad>
              <m:radPr>
                <m:degHide m:val="1"/>
              </m:radPr>
              <m:deg/>
              <m:e>
                <m:r>
                  <m:t xml:space="preserve">d</m:t>
                </m:r>
              </m:e>
            </m:rad>
          </m:den>
        </m:f>
        <m:r>
          <m:t xml:space="preserve"> + M</m:t>
        </m:r>
      </m:oMath>
      <w:r>
        <w:rPr>
          <w:b w:val="0"/>
          <w:sz w:val="21"/>
          <w:rFonts w:eastAsia="宋体" w:ascii="Times New Roman" w:hAnsi="Times New Roman"/>
        </w:rPr>
        <w:t xml:space="preserve">        (3-4)</w:t>
      </w:r>
    </w:p>
    <w:p>
      <w:pPr>
        <w:spacing w:before="120" w:after="40"/>
      </w:pPr>
      <w:r>
        <w:rPr>
          <w:b/>
          <w:sz w:val="21"/>
          <w:rFonts w:eastAsia="黑体" w:ascii="Times New Roman" w:hAnsi="Times New Roman"/>
        </w:rPr>
        <w:t>（3）用户表征</w:t>
      </w:r>
    </w:p>
    <w:p>
      <w:pPr>
        <w:spacing w:before="40" w:after="40" w:line="360" w:lineRule="auto"/>
        <w:ind w:firstLineChars="200" w:firstLine="420"/>
      </w:pPr>
      <w:r>
        <w:rPr>
          <w:b w:val="0"/>
          <w:sz w:val="21"/>
          <w:rFonts w:eastAsia="宋体" w:ascii="Times New Roman" w:hAnsi="Times New Roman"/>
        </w:rPr>
        <w:t>经过 2 层注意力与最终 LayerNorm 后, 模块取序列中最后一个非 padding 位置 last_idx 对应的隐状态 h_{last_idx} 作为用户表征 u, 见式 (3-5)。这样既覆盖了用户的全部历史信息 (注意力机制天然聚合了 1 ~ last_idx 的全部位置), 又强调最近一次行为的指导意义。</w:t>
      </w:r>
    </w:p>
    <w:p>
      <w:pPr>
        <w:spacing w:before="80" w:after="80"/>
        <w:jc w:val="center"/>
      </w:pPr>
      <m:oMath>
        <m:r>
          <m:t xml:space="preserve">u = H[</m:t>
        </m:r>
        <m:r>
          <m:rPr>
            <m:sty m:val="p"/>
          </m:rPr>
          <m:t xml:space="preserve">last_idx</m:t>
        </m:r>
        <m:r>
          <m:t xml:space="preserve">] ∈ </m:t>
        </m:r>
        <m:sSup>
          <m:e>
            <m:r>
              <m:t xml:space="preserve">R</m:t>
            </m:r>
          </m:e>
          <m:sup>
            <m:r>
              <m:t xml:space="preserve">128</m:t>
            </m:r>
          </m:sup>
        </m:sSup>
      </m:oMath>
      <w:r>
        <w:rPr>
          <w:b w:val="0"/>
          <w:sz w:val="21"/>
          <w:rFonts w:eastAsia="宋体" w:ascii="Times New Roman" w:hAnsi="Times New Roman"/>
        </w:rPr>
        <w:t xml:space="preserve">        (3-5)</w:t>
      </w:r>
    </w:p>
    <w:p>
      <w:pPr>
        <w:spacing w:before="120" w:after="40"/>
        <w:jc w:val="center"/>
      </w:pPr>
      <w:r>
        <w:drawing>
          <wp:inline xmlns:a="http://schemas.openxmlformats.org/drawingml/2006/main" xmlns:pic="http://schemas.openxmlformats.org/drawingml/2006/picture">
            <wp:extent cx="5040000" cy="7663256"/>
            <wp:docPr id="4" name="Picture 4"/>
            <wp:cNvGraphicFramePr>
              <a:graphicFrameLocks noChangeAspect="1"/>
            </wp:cNvGraphicFramePr>
            <a:graphic>
              <a:graphicData uri="http://schemas.openxmlformats.org/drawingml/2006/picture">
                <pic:pic>
                  <pic:nvPicPr>
                    <pic:cNvPr id="0" name="3-4-sasrec.png"/>
                    <pic:cNvPicPr/>
                  </pic:nvPicPr>
                  <pic:blipFill>
                    <a:blip r:embed="rId12"/>
                    <a:stretch>
                      <a:fillRect/>
                    </a:stretch>
                  </pic:blipFill>
                  <pic:spPr>
                    <a:xfrm>
                      <a:off x="0" y="0"/>
                      <a:ext cx="5040000" cy="7663256"/>
                    </a:xfrm>
                    <a:prstGeom prst="rect"/>
                  </pic:spPr>
                </pic:pic>
              </a:graphicData>
            </a:graphic>
          </wp:inline>
        </w:drawing>
      </w:r>
    </w:p>
    <w:p>
      <w:pPr>
        <w:spacing w:before="40" w:after="160"/>
        <w:jc w:val="center"/>
      </w:pPr>
      <w:r>
        <w:rPr>
          <w:b/>
          <w:sz w:val="21"/>
          <w:rFonts w:eastAsia="黑体" w:ascii="Times New Roman" w:hAnsi="Times New Roman"/>
        </w:rPr>
        <w:t>图 3.4  用户行为序列编码模块 (SASRec) 内部结构</w:t>
      </w:r>
    </w:p>
    <w:p>
      <w:pPr>
        <w:spacing w:before="240" w:after="120"/>
      </w:pPr>
      <w:r>
        <w:rPr>
          <w:b/>
          <w:sz w:val="20"/>
          <w:rFonts w:eastAsia="黑体" w:ascii="Times New Roman" w:hAnsi="Times New Roman"/>
        </w:rPr>
        <w:t>3.2.3  商品属性编码模块</w:t>
      </w:r>
    </w:p>
    <w:p>
      <w:pPr>
        <w:spacing w:before="40" w:after="40" w:line="360" w:lineRule="auto"/>
        <w:ind w:firstLineChars="200" w:firstLine="420"/>
      </w:pPr>
      <w:r>
        <w:rPr>
          <w:b w:val="0"/>
          <w:sz w:val="21"/>
          <w:rFonts w:eastAsia="宋体" w:ascii="Times New Roman" w:hAnsi="Times New Roman"/>
        </w:rPr>
        <w:t>该模块负责把每件商品的多源结构化属性编码为与用户表征同维 (128) 的稠密向量 v, 解决纯 ID 嵌入对冷启动商品表达力不足的问题。考虑到 5 个离散属性 (cate, brand, a1, a2, a3) 取值空间差异巨大 (品类约 8-17, 品牌可达 1000+), 而 comment_num 是连续值, 模块采用 “离散查表 + 连续归一化 + 拼接 + 浅层 MLP” 的轻量结构, 流程如图 3.5 所示。</w:t>
      </w:r>
    </w:p>
    <w:p>
      <w:pPr>
        <w:spacing w:before="120" w:after="40"/>
      </w:pPr>
      <w:r>
        <w:rPr>
          <w:b/>
          <w:sz w:val="21"/>
          <w:rFonts w:eastAsia="黑体" w:ascii="Times New Roman" w:hAnsi="Times New Roman"/>
        </w:rPr>
        <w:t>（1）异构属性的统一表示</w:t>
      </w:r>
    </w:p>
    <w:p>
      <w:pPr>
        <w:spacing w:before="40" w:after="40" w:line="360" w:lineRule="auto"/>
        <w:ind w:firstLineChars="200" w:firstLine="420"/>
      </w:pPr>
      <w:r>
        <w:rPr>
          <w:b w:val="0"/>
          <w:sz w:val="21"/>
          <w:rFonts w:eastAsia="宋体" w:ascii="Times New Roman" w:hAnsi="Times New Roman"/>
        </w:rPr>
        <w:t>对 5 个离散属性各设置独立的 Embedding 表 (维度均为 16, 取 padding_idx = 0 容纳缺失值), 对连续属性 comment_num 先做 min-max 归一化使其取值落在 [0, 1] 区间, 然后将 5 个 16 维 embedding 与 1 维归一化标量在最后一维拼接, 得到 81 维属性向量, 见式 (3-6)。</w:t>
      </w:r>
    </w:p>
    <w:p>
      <w:pPr>
        <w:spacing w:before="80" w:after="80"/>
        <w:jc w:val="center"/>
      </w:pPr>
      <m:oMath>
        <m:r>
          <m:t xml:space="preserve">z = [</m:t>
        </m:r>
        <m:sSup>
          <m:e>
            <m:r>
              <m:t xml:space="preserve">E</m:t>
            </m:r>
          </m:e>
          <m:sup>
            <m:r>
              <m:t xml:space="preserve">cate</m:t>
            </m:r>
          </m:sup>
        </m:sSup>
        <m:r>
          <m:t xml:space="preserve"> ; </m:t>
        </m:r>
        <m:sSup>
          <m:e>
            <m:r>
              <m:t xml:space="preserve">E</m:t>
            </m:r>
          </m:e>
          <m:sup>
            <m:r>
              <m:t xml:space="preserve">brand</m:t>
            </m:r>
          </m:sup>
        </m:sSup>
        <m:r>
          <m:t xml:space="preserve"> ; </m:t>
        </m:r>
        <m:sSup>
          <m:e>
            <m:r>
              <m:t xml:space="preserve">E</m:t>
            </m:r>
          </m:e>
          <m:sup>
            <m:r>
              <m:t xml:space="preserve">a1</m:t>
            </m:r>
          </m:sup>
        </m:sSup>
        <m:r>
          <m:t xml:space="preserve"> ; </m:t>
        </m:r>
        <m:sSup>
          <m:e>
            <m:r>
              <m:t xml:space="preserve">E</m:t>
            </m:r>
          </m:e>
          <m:sup>
            <m:r>
              <m:t xml:space="preserve">a2</m:t>
            </m:r>
          </m:sup>
        </m:sSup>
        <m:r>
          <m:t xml:space="preserve"> ; </m:t>
        </m:r>
        <m:sSup>
          <m:e>
            <m:r>
              <m:t xml:space="preserve">E</m:t>
            </m:r>
          </m:e>
          <m:sup>
            <m:r>
              <m:t xml:space="preserve">a3</m:t>
            </m:r>
          </m:sup>
        </m:sSup>
        <m:r>
          <m:t xml:space="preserve"> ; </m:t>
        </m:r>
        <m:sSup>
          <m:e>
            <m:r>
              <m:rPr>
                <m:sty m:val="p"/>
              </m:rPr>
              <m:t xml:space="preserve">comment_num</m:t>
            </m:r>
          </m:e>
          <m:sup>
            <m:r>
              <m:t xml:space="preserve">'</m:t>
            </m:r>
          </m:sup>
        </m:sSup>
        <m:r>
          <m:t xml:space="preserve">] ∈ </m:t>
        </m:r>
        <m:sSup>
          <m:e>
            <m:r>
              <m:t xml:space="preserve">R</m:t>
            </m:r>
          </m:e>
          <m:sup>
            <m:r>
              <m:t xml:space="preserve">81</m:t>
            </m:r>
          </m:sup>
        </m:sSup>
      </m:oMath>
      <w:r>
        <w:rPr>
          <w:b w:val="0"/>
          <w:sz w:val="21"/>
          <w:rFonts w:eastAsia="宋体" w:ascii="Times New Roman" w:hAnsi="Times New Roman"/>
        </w:rPr>
        <w:t xml:space="preserve">        (3-6)</w:t>
      </w:r>
    </w:p>
    <w:p>
      <w:pPr>
        <w:spacing w:before="120" w:after="40"/>
      </w:pPr>
      <w:r>
        <w:rPr>
          <w:b/>
          <w:sz w:val="21"/>
          <w:rFonts w:eastAsia="黑体" w:ascii="Times New Roman" w:hAnsi="Times New Roman"/>
        </w:rPr>
        <w:t>（2）MLP 语义编码</w:t>
      </w:r>
    </w:p>
    <w:p>
      <w:pPr>
        <w:spacing w:before="40" w:after="40" w:line="360" w:lineRule="auto"/>
        <w:ind w:firstLineChars="200" w:firstLine="420"/>
      </w:pPr>
      <w:r>
        <w:rPr>
          <w:b w:val="0"/>
          <w:sz w:val="21"/>
          <w:rFonts w:eastAsia="宋体" w:ascii="Times New Roman" w:hAnsi="Times New Roman"/>
        </w:rPr>
        <w:t>拼接后的稀疏 - 稠密混合向量经过两层全连接的 ItemAttrMLP 完成语义压缩, 见式 (3-7), 其中 ReLU 引入非线性, LayerNorm 稳定数值分布。输出 v ∈ ℝ¹²⁸ 即为商品的属性语义表征, 供 3.2.2 节序列编码器在输入端注入使用。</w:t>
      </w:r>
    </w:p>
    <w:p>
      <w:pPr>
        <w:spacing w:before="80" w:after="80"/>
        <w:jc w:val="center"/>
      </w:pPr>
      <m:oMath>
        <m:r>
          <m:t xml:space="preserve">v = </m:t>
        </m:r>
        <m:r>
          <m:rPr>
            <m:sty m:val="p"/>
          </m:rPr>
          <m:t xml:space="preserve">LayerNorm</m:t>
        </m:r>
        <m:r>
          <m:t xml:space="preserve">(</m:t>
        </m:r>
        <m:sSub>
          <m:e>
            <m:r>
              <m:t xml:space="preserve">W</m:t>
            </m:r>
          </m:e>
          <m:sub>
            <m:r>
              <m:t xml:space="preserve">2</m:t>
            </m:r>
          </m:sub>
        </m:sSub>
        <m:r>
          <m:t xml:space="preserve"> · </m:t>
        </m:r>
        <m:r>
          <m:rPr>
            <m:sty m:val="p"/>
          </m:rPr>
          <m:t xml:space="preserve">ReLU</m:t>
        </m:r>
        <m:r>
          <m:t xml:space="preserve">(</m:t>
        </m:r>
        <m:sSub>
          <m:e>
            <m:r>
              <m:t xml:space="preserve">W</m:t>
            </m:r>
          </m:e>
          <m:sub>
            <m:r>
              <m:t xml:space="preserve">1</m:t>
            </m:r>
          </m:sub>
        </m:sSub>
        <m:r>
          <m:t xml:space="preserve"> z + </m:t>
        </m:r>
        <m:sSub>
          <m:e>
            <m:r>
              <m:t xml:space="preserve">b</m:t>
            </m:r>
          </m:e>
          <m:sub>
            <m:r>
              <m:t xml:space="preserve">1</m:t>
            </m:r>
          </m:sub>
        </m:sSub>
        <m:r>
          <m:t xml:space="preserve">) + </m:t>
        </m:r>
        <m:sSub>
          <m:e>
            <m:r>
              <m:t xml:space="preserve">b</m:t>
            </m:r>
          </m:e>
          <m:sub>
            <m:r>
              <m:t xml:space="preserve">2</m:t>
            </m:r>
          </m:sub>
        </m:sSub>
        <m:r>
          <m:t xml:space="preserve">) ∈ </m:t>
        </m:r>
        <m:sSup>
          <m:e>
            <m:r>
              <m:t xml:space="preserve">R</m:t>
            </m:r>
          </m:e>
          <m:sup>
            <m:r>
              <m:t xml:space="preserve">128</m:t>
            </m:r>
          </m:sup>
        </m:sSup>
      </m:oMath>
      <w:r>
        <w:rPr>
          <w:b w:val="0"/>
          <w:sz w:val="21"/>
          <w:rFonts w:eastAsia="宋体" w:ascii="Times New Roman" w:hAnsi="Times New Roman"/>
        </w:rPr>
        <w:t xml:space="preserve">        (3-7)</w:t>
      </w:r>
    </w:p>
    <w:p>
      <w:pPr>
        <w:spacing w:before="120" w:after="40"/>
        <w:jc w:val="center"/>
      </w:pPr>
      <w:r>
        <w:drawing>
          <wp:inline xmlns:a="http://schemas.openxmlformats.org/drawingml/2006/main" xmlns:pic="http://schemas.openxmlformats.org/drawingml/2006/picture">
            <wp:extent cx="5040000" cy="1704173"/>
            <wp:docPr id="5" name="Picture 5"/>
            <wp:cNvGraphicFramePr>
              <a:graphicFrameLocks noChangeAspect="1"/>
            </wp:cNvGraphicFramePr>
            <a:graphic>
              <a:graphicData uri="http://schemas.openxmlformats.org/drawingml/2006/picture">
                <pic:pic>
                  <pic:nvPicPr>
                    <pic:cNvPr id="0" name="3-5-itemattrmlp.png"/>
                    <pic:cNvPicPr/>
                  </pic:nvPicPr>
                  <pic:blipFill>
                    <a:blip r:embed="rId13"/>
                    <a:stretch>
                      <a:fillRect/>
                    </a:stretch>
                  </pic:blipFill>
                  <pic:spPr>
                    <a:xfrm>
                      <a:off x="0" y="0"/>
                      <a:ext cx="5040000" cy="1704173"/>
                    </a:xfrm>
                    <a:prstGeom prst="rect"/>
                  </pic:spPr>
                </pic:pic>
              </a:graphicData>
            </a:graphic>
          </wp:inline>
        </w:drawing>
      </w:r>
    </w:p>
    <w:p>
      <w:pPr>
        <w:spacing w:before="40" w:after="160"/>
        <w:jc w:val="center"/>
      </w:pPr>
      <w:r>
        <w:rPr>
          <w:b/>
          <w:sz w:val="21"/>
          <w:rFonts w:eastAsia="黑体" w:ascii="Times New Roman" w:hAnsi="Times New Roman"/>
        </w:rPr>
        <w:t>图 3.5  商品属性编码模块 (ItemAttrMLP) 结构</w:t>
      </w:r>
    </w:p>
    <w:p>
      <w:pPr>
        <w:spacing w:before="240" w:after="120"/>
      </w:pPr>
      <w:r>
        <w:rPr>
          <w:b/>
          <w:sz w:val="20"/>
          <w:rFonts w:eastAsia="黑体" w:ascii="Times New Roman" w:hAnsi="Times New Roman"/>
        </w:rPr>
        <w:t>3.2.4  评分预测与训练模块</w:t>
      </w:r>
    </w:p>
    <w:p>
      <w:pPr>
        <w:spacing w:before="40" w:after="40" w:line="360" w:lineRule="auto"/>
        <w:ind w:firstLineChars="200" w:firstLine="420"/>
      </w:pPr>
      <w:r>
        <w:rPr>
          <w:b w:val="0"/>
          <w:sz w:val="21"/>
          <w:rFonts w:eastAsia="宋体" w:ascii="Times New Roman" w:hAnsi="Times New Roman"/>
        </w:rPr>
        <w:t>该模块的目标是基于用户表征 u 对全部候选商品打分, 并通过端到端梯度下降同时更新 SASRec 编码器、ItemAttrMLP 与输出层的所有参数。考虑到 BPR 一类的成对损失需要负采样、训练信号偏弱, 本文与 GRU4Rec 保持一致, 采用全量 Softmax 上的交叉熵损失, 在 N + 1 个商品 (含 padding 索引) 上学习多分类。整体训练流程如图 3.6 所示。</w:t>
      </w:r>
    </w:p>
    <w:p>
      <w:pPr>
        <w:spacing w:before="120" w:after="40"/>
      </w:pPr>
      <w:r>
        <w:rPr>
          <w:b/>
          <w:sz w:val="21"/>
          <w:rFonts w:eastAsia="黑体" w:ascii="Times New Roman" w:hAnsi="Times New Roman"/>
        </w:rPr>
        <w:t>（1）全量 Softmax 打分</w:t>
      </w:r>
    </w:p>
    <w:p>
      <w:pPr>
        <w:spacing w:before="40" w:after="40" w:line="360" w:lineRule="auto"/>
        <w:ind w:firstLineChars="200" w:firstLine="420"/>
      </w:pPr>
      <w:r>
        <w:rPr>
          <w:b w:val="0"/>
          <w:sz w:val="21"/>
          <w:rFonts w:eastAsia="宋体" w:ascii="Times New Roman" w:hAnsi="Times New Roman"/>
        </w:rPr>
        <w:t>用户表征 u 经过一层共享参数的线性输出层得到全量候选商品的得分 logits, 见式 (3-8); 其中 W ∈ ℝ^((N+1)×d), b ∈ ℝ^(N+1), N 为商品总数。</w:t>
      </w:r>
    </w:p>
    <w:p>
      <w:pPr>
        <w:spacing w:before="80" w:after="80"/>
        <w:jc w:val="center"/>
      </w:pPr>
      <m:oMath>
        <m:sSub>
          <m:e>
            <m:r>
              <m:rPr>
                <m:sty m:val="p"/>
              </m:rPr>
              <m:t xml:space="preserve">logits</m:t>
            </m:r>
          </m:e>
          <m:sub>
            <m:r>
              <m:t xml:space="preserve">u</m:t>
            </m:r>
          </m:sub>
        </m:sSub>
        <m:r>
          <m:t xml:space="preserve"> = W u + b ∈ </m:t>
        </m:r>
        <m:sSup>
          <m:e>
            <m:r>
              <m:t xml:space="preserve">R</m:t>
            </m:r>
          </m:e>
          <m:sup>
            <m:r>
              <m:t xml:space="preserve">N+1</m:t>
            </m:r>
          </m:sup>
        </m:sSup>
      </m:oMath>
      <w:r>
        <w:rPr>
          <w:b w:val="0"/>
          <w:sz w:val="21"/>
          <w:rFonts w:eastAsia="宋体" w:ascii="Times New Roman" w:hAnsi="Times New Roman"/>
        </w:rPr>
        <w:t xml:space="preserve">        (3-8)</w:t>
      </w:r>
    </w:p>
    <w:p>
      <w:pPr>
        <w:spacing w:before="120" w:after="40"/>
      </w:pPr>
      <w:r>
        <w:rPr>
          <w:b/>
          <w:sz w:val="21"/>
          <w:rFonts w:eastAsia="黑体" w:ascii="Times New Roman" w:hAnsi="Times New Roman"/>
        </w:rPr>
        <w:t>（2）损失函数与优化器</w:t>
      </w:r>
    </w:p>
    <w:p>
      <w:pPr>
        <w:spacing w:before="40" w:after="40" w:line="360" w:lineRule="auto"/>
        <w:ind w:firstLineChars="200" w:firstLine="420"/>
      </w:pPr>
      <w:r>
        <w:rPr>
          <w:b w:val="0"/>
          <w:sz w:val="21"/>
          <w:rFonts w:eastAsia="宋体" w:ascii="Times New Roman" w:hAnsi="Times New Roman"/>
        </w:rPr>
        <w:t>对训练样本 (序列前缀, 下一个真实商品 y), 使用交叉熵损失监督模型, 见式 (3-9)。目标的 softmax 概率越接近 1, 损失越小, 直接最大化命中目标的对数似然。</w:t>
      </w:r>
    </w:p>
    <w:p>
      <w:pPr>
        <w:spacing w:before="80" w:after="80"/>
        <w:jc w:val="center"/>
      </w:pPr>
      <m:oMath>
        <m:r>
          <m:t xml:space="preserve">L = -</m:t>
        </m:r>
        <m:r>
          <m:rPr>
            <m:sty m:val="p"/>
          </m:rPr>
          <m:t xml:space="preserve">log</m:t>
        </m:r>
        <m:r>
          <m:t xml:space="preserve"> P(y | u) = -</m:t>
        </m:r>
        <m:r>
          <m:rPr>
            <m:sty m:val="p"/>
          </m:rPr>
          <m:t xml:space="preserve">log</m:t>
        </m:r>
        <m:r>
          <m:t xml:space="preserve"> </m:t>
        </m:r>
        <m:f>
          <m:num>
            <m:r>
              <m:rPr>
                <m:sty m:val="p"/>
              </m:rPr>
              <m:t xml:space="preserve">exp</m:t>
            </m:r>
            <m:r>
              <m:t xml:space="preserve">(</m:t>
            </m:r>
            <m:sSub>
              <m:e>
                <m:r>
                  <m:rPr>
                    <m:sty m:val="p"/>
                  </m:rPr>
                  <m:t xml:space="preserve">logits</m:t>
                </m:r>
              </m:e>
              <m:sub>
                <m:r>
                  <m:t xml:space="preserve">u</m:t>
                </m:r>
              </m:sub>
            </m:sSub>
            <m:r>
              <m:t xml:space="preserve">[y])</m:t>
            </m:r>
          </m:num>
          <m:den>
            <m:nary>
              <m:naryPr>
                <m:limLoc m:val="subSup"/>
              </m:naryPr>
              <m:sub>
                <m:r>
                  <m:t xml:space="preserve">j</m:t>
                </m:r>
              </m:sub>
              <m:sup/>
              <m:e>
                <m:r>
                  <m:rPr>
                    <m:sty m:val="p"/>
                  </m:rPr>
                  <m:t xml:space="preserve">exp</m:t>
                </m:r>
                <m:r>
                  <m:t xml:space="preserve">(</m:t>
                </m:r>
                <m:sSub>
                  <m:e>
                    <m:r>
                      <m:rPr>
                        <m:sty m:val="p"/>
                      </m:rPr>
                      <m:t xml:space="preserve">logits</m:t>
                    </m:r>
                  </m:e>
                  <m:sub>
                    <m:r>
                      <m:t xml:space="preserve">u</m:t>
                    </m:r>
                  </m:sub>
                </m:sSub>
                <m:r>
                  <m:t xml:space="preserve">[j])</m:t>
                </m:r>
              </m:e>
            </m:nary>
          </m:den>
        </m:f>
      </m:oMath>
      <w:r>
        <w:rPr>
          <w:b w:val="0"/>
          <w:sz w:val="21"/>
          <w:rFonts w:eastAsia="宋体" w:ascii="Times New Roman" w:hAnsi="Times New Roman"/>
        </w:rPr>
        <w:t xml:space="preserve">        (3-9)</w:t>
      </w:r>
    </w:p>
    <w:p>
      <w:pPr>
        <w:spacing w:before="40" w:after="40" w:line="360" w:lineRule="auto"/>
        <w:ind w:firstLineChars="200" w:firstLine="420"/>
      </w:pPr>
      <w:r>
        <w:rPr>
          <w:b w:val="0"/>
          <w:sz w:val="21"/>
          <w:rFonts w:eastAsia="宋体" w:ascii="Times New Roman" w:hAnsi="Times New Roman"/>
        </w:rPr>
        <w:t>训练采用 Adam 优化器, 学习率 1×10⁻³, batch_size = 256, 训练 15 个 epoch, 未使用 dropout 之外的正则化。在样本构造上, 对每条用户序列采用滑窗多步策略: 对训练序列中的每个位置 t &gt; 0, 取前缀 [s₁, ..., s_{t-1}] (左侧 padding 到 MAX_LEN = 50) 作为输入、s_t 作为标签, 显著扩大了有效训练样本数。本模块的关键超参数汇总于表 3.2。</w:t>
      </w:r>
    </w:p>
    <w:p>
      <w:pPr>
        <w:spacing w:before="120" w:after="60"/>
        <w:jc w:val="center"/>
      </w:pPr>
      <w:r>
        <w:rPr>
          <w:b/>
          <w:sz w:val="21"/>
          <w:rFonts w:eastAsia="黑体" w:ascii="Times New Roman" w:hAnsi="Times New Roman"/>
        </w:rPr>
        <w:t>表 3.2  评分预测与训练模块的关键超参数设置</w:t>
      </w:r>
    </w:p>
    <w:tbl>
      <w:tblPr>
        <w:tblW w:type="auto" w:w="0"/>
        <w:jc w:val="center"/>
        <w:tblLayout w:type="fixed"/>
        <w:tblLook w:firstColumn="1" w:firstRow="1" w:lastColumn="0" w:lastRow="0" w:noHBand="0" w:noVBand="1" w:val="04A0"/>
      </w:tblPr>
      <w:tblGrid>
        <w:gridCol w:w="2880"/>
        <w:gridCol w:w="2880"/>
        <w:gridCol w:w="2880"/>
      </w:tblGrid>
      <w:tr>
        <w:tc>
          <w:tcPr>
            <w:tcW w:type="dxa" w:w="1984"/>
            <w:vAlign w:val="center"/>
            <w:tcBorders>
              <w:top w:val="single" w:sz="12" w:space="0" w:color="000000"/>
              <w:bottom w:val="single" w:sz="6" w:space="0" w:color="000000"/>
              <w:left w:val="nil"/>
              <w:right w:val="nil"/>
            </w:tcBorders>
          </w:tcPr>
          <w:p>
            <w:pPr>
              <w:jc w:val="center"/>
            </w:pPr>
            <w:r/>
            <w:r>
              <w:rPr>
                <w:b/>
                <w:sz w:val="21"/>
                <w:rFonts w:eastAsia="黑体" w:ascii="Times New Roman" w:hAnsi="Times New Roman"/>
              </w:rPr>
              <w:t>超参数</w:t>
            </w:r>
          </w:p>
        </w:tc>
        <w:tc>
          <w:tcPr>
            <w:tcW w:type="dxa" w:w="1984"/>
            <w:vAlign w:val="center"/>
            <w:tcBorders>
              <w:top w:val="single" w:sz="12" w:space="0" w:color="000000"/>
              <w:bottom w:val="single" w:sz="6" w:space="0" w:color="000000"/>
              <w:left w:val="nil"/>
              <w:right w:val="nil"/>
            </w:tcBorders>
          </w:tcPr>
          <w:p>
            <w:pPr>
              <w:jc w:val="center"/>
            </w:pPr>
            <w:r/>
            <w:r>
              <w:rPr>
                <w:b/>
                <w:sz w:val="21"/>
                <w:rFonts w:eastAsia="黑体" w:ascii="Times New Roman" w:hAnsi="Times New Roman"/>
              </w:rPr>
              <w:t>取值</w:t>
            </w:r>
          </w:p>
        </w:tc>
        <w:tc>
          <w:tcPr>
            <w:tcW w:type="dxa" w:w="5102"/>
            <w:vAlign w:val="center"/>
            <w:tcBorders>
              <w:top w:val="single" w:sz="12" w:space="0" w:color="000000"/>
              <w:bottom w:val="single" w:sz="6" w:space="0" w:color="000000"/>
              <w:left w:val="nil"/>
              <w:right w:val="nil"/>
            </w:tcBorders>
          </w:tcPr>
          <w:p>
            <w:pPr>
              <w:jc w:val="center"/>
            </w:pPr>
            <w:r/>
            <w:r>
              <w:rPr>
                <w:b/>
                <w:sz w:val="21"/>
                <w:rFonts w:eastAsia="黑体" w:ascii="Times New Roman" w:hAnsi="Times New Roman"/>
              </w:rPr>
              <w:t>说明</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MAX_LEN</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50</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序列输入最大长度, 左侧 padding</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hidden_dim</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128</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Item / Pos / Attr Embedding 统一维度</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num_layers</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2</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自注意力层数</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cat_emb_dim</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16</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每个离散属性 Embedding 维度</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dropout</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0.2</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输入端与注意力后均使用</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optimizer</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Adam</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β₁=0.9, β₂=0.999, ε=1e-8</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learning_rate</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1×10⁻³</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全程恒定</w:t>
            </w:r>
          </w:p>
        </w:tc>
      </w:tr>
      <w:tr>
        <w:tc>
          <w:tcPr>
            <w:tcW w:type="dxa" w:w="1984"/>
            <w:vAlign w:val="center"/>
            <w:tcBorders>
              <w:top w:val="nil"/>
              <w:bottom w:val="nil"/>
              <w:left w:val="nil"/>
              <w:right w:val="nil"/>
            </w:tcBorders>
          </w:tcPr>
          <w:p>
            <w:pPr>
              <w:jc w:val="center"/>
            </w:pPr>
            <w:r/>
            <w:r>
              <w:rPr>
                <w:b w:val="0"/>
                <w:sz w:val="21"/>
                <w:rFonts w:eastAsia="宋体" w:ascii="Times New Roman" w:hAnsi="Times New Roman"/>
              </w:rPr>
              <w:t>batch_size</w:t>
            </w:r>
          </w:p>
        </w:tc>
        <w:tc>
          <w:tcPr>
            <w:tcW w:type="dxa" w:w="1984"/>
            <w:vAlign w:val="center"/>
            <w:tcBorders>
              <w:top w:val="nil"/>
              <w:bottom w:val="nil"/>
              <w:left w:val="nil"/>
              <w:right w:val="nil"/>
            </w:tcBorders>
          </w:tcPr>
          <w:p>
            <w:pPr>
              <w:jc w:val="center"/>
            </w:pPr>
            <w:r/>
            <w:r>
              <w:rPr>
                <w:b w:val="0"/>
                <w:sz w:val="21"/>
                <w:rFonts w:eastAsia="宋体" w:ascii="Times New Roman" w:hAnsi="Times New Roman"/>
              </w:rPr>
              <w:t>256</w:t>
            </w:r>
          </w:p>
        </w:tc>
        <w:tc>
          <w:tcPr>
            <w:tcW w:type="dxa" w:w="5102"/>
            <w:vAlign w:val="center"/>
            <w:tcBorders>
              <w:top w:val="nil"/>
              <w:bottom w:val="nil"/>
              <w:left w:val="nil"/>
              <w:right w:val="nil"/>
            </w:tcBorders>
          </w:tcPr>
          <w:p>
            <w:pPr>
              <w:jc w:val="center"/>
            </w:pPr>
            <w:r/>
            <w:r>
              <w:rPr>
                <w:b w:val="0"/>
                <w:sz w:val="21"/>
                <w:rFonts w:eastAsia="宋体" w:ascii="Times New Roman" w:hAnsi="Times New Roman"/>
              </w:rPr>
              <w:t>TensorDataset + DataLoader</w:t>
            </w:r>
          </w:p>
        </w:tc>
      </w:tr>
      <w:tr>
        <w:tc>
          <w:tcPr>
            <w:tcW w:type="dxa" w:w="1984"/>
            <w:vAlign w:val="center"/>
            <w:tcBorders>
              <w:top w:val="nil"/>
              <w:bottom w:val="single" w:sz="12" w:space="0" w:color="000000"/>
              <w:left w:val="nil"/>
              <w:right w:val="nil"/>
            </w:tcBorders>
          </w:tcPr>
          <w:p>
            <w:pPr>
              <w:jc w:val="center"/>
            </w:pPr>
            <w:r/>
            <w:r>
              <w:rPr>
                <w:b w:val="0"/>
                <w:sz w:val="21"/>
                <w:rFonts w:eastAsia="宋体" w:ascii="Times New Roman" w:hAnsi="Times New Roman"/>
              </w:rPr>
              <w:t>epochs</w:t>
            </w:r>
          </w:p>
        </w:tc>
        <w:tc>
          <w:tcPr>
            <w:tcW w:type="dxa" w:w="1984"/>
            <w:vAlign w:val="center"/>
            <w:tcBorders>
              <w:top w:val="nil"/>
              <w:bottom w:val="single" w:sz="12" w:space="0" w:color="000000"/>
              <w:left w:val="nil"/>
              <w:right w:val="nil"/>
            </w:tcBorders>
          </w:tcPr>
          <w:p>
            <w:pPr>
              <w:jc w:val="center"/>
            </w:pPr>
            <w:r/>
            <w:r>
              <w:rPr>
                <w:b w:val="0"/>
                <w:sz w:val="21"/>
                <w:rFonts w:eastAsia="宋体" w:ascii="Times New Roman" w:hAnsi="Times New Roman"/>
              </w:rPr>
              <w:t>15</w:t>
            </w:r>
          </w:p>
        </w:tc>
        <w:tc>
          <w:tcPr>
            <w:tcW w:type="dxa" w:w="5102"/>
            <w:vAlign w:val="center"/>
            <w:tcBorders>
              <w:top w:val="nil"/>
              <w:bottom w:val="single" w:sz="12" w:space="0" w:color="000000"/>
              <w:left w:val="nil"/>
              <w:right w:val="nil"/>
            </w:tcBorders>
          </w:tcPr>
          <w:p>
            <w:pPr>
              <w:jc w:val="center"/>
            </w:pPr>
            <w:r/>
            <w:r>
              <w:rPr>
                <w:b w:val="0"/>
                <w:sz w:val="21"/>
                <w:rFonts w:eastAsia="宋体" w:ascii="Times New Roman" w:hAnsi="Times New Roman"/>
              </w:rPr>
              <w:t>在全量训练样本上</w:t>
            </w:r>
          </w:p>
        </w:tc>
      </w:tr>
    </w:tbl>
    <w:p/>
    <w:p>
      <w:pPr>
        <w:spacing w:before="120" w:after="40"/>
        <w:jc w:val="center"/>
      </w:pPr>
      <w:r>
        <w:drawing>
          <wp:inline xmlns:a="http://schemas.openxmlformats.org/drawingml/2006/main" xmlns:pic="http://schemas.openxmlformats.org/drawingml/2006/picture">
            <wp:extent cx="5040000" cy="6971134"/>
            <wp:docPr id="6" name="Picture 6"/>
            <wp:cNvGraphicFramePr>
              <a:graphicFrameLocks noChangeAspect="1"/>
            </wp:cNvGraphicFramePr>
            <a:graphic>
              <a:graphicData uri="http://schemas.openxmlformats.org/drawingml/2006/picture">
                <pic:pic>
                  <pic:nvPicPr>
                    <pic:cNvPr id="0" name="3-6-train.png"/>
                    <pic:cNvPicPr/>
                  </pic:nvPicPr>
                  <pic:blipFill>
                    <a:blip r:embed="rId14"/>
                    <a:stretch>
                      <a:fillRect/>
                    </a:stretch>
                  </pic:blipFill>
                  <pic:spPr>
                    <a:xfrm>
                      <a:off x="0" y="0"/>
                      <a:ext cx="5040000" cy="6971134"/>
                    </a:xfrm>
                    <a:prstGeom prst="rect"/>
                  </pic:spPr>
                </pic:pic>
              </a:graphicData>
            </a:graphic>
          </wp:inline>
        </w:drawing>
      </w:r>
    </w:p>
    <w:p>
      <w:pPr>
        <w:spacing w:before="40" w:after="160"/>
        <w:jc w:val="center"/>
      </w:pPr>
      <w:r>
        <w:rPr>
          <w:b/>
          <w:sz w:val="21"/>
          <w:rFonts w:eastAsia="黑体" w:ascii="Times New Roman" w:hAnsi="Times New Roman"/>
        </w:rPr>
        <w:t>图 3.6  评分预测与训练模块数据流</w:t>
      </w:r>
    </w:p>
    <w:p>
      <w:pPr>
        <w:spacing w:before="240" w:after="120"/>
      </w:pPr>
      <w:r>
        <w:rPr>
          <w:b/>
          <w:sz w:val="20"/>
          <w:rFonts w:eastAsia="黑体" w:ascii="Times New Roman" w:hAnsi="Times New Roman"/>
        </w:rPr>
        <w:t>3.2.5  推荐输出与展示模块</w:t>
      </w:r>
    </w:p>
    <w:p>
      <w:pPr>
        <w:spacing w:before="40" w:after="40" w:line="360" w:lineRule="auto"/>
        <w:ind w:firstLineChars="200" w:firstLine="420"/>
      </w:pPr>
      <w:r>
        <w:rPr>
          <w:b w:val="0"/>
          <w:sz w:val="21"/>
          <w:rFonts w:eastAsia="宋体" w:ascii="Times New Roman" w:hAnsi="Times New Roman"/>
        </w:rPr>
        <w:t>该模块在推理阶段对外输出最终的 Top-K 推荐结果, 并附带基于自注意力权重生成的可解释推荐理由, 最后以 HTML Demo 形式同时展示 Item-CF、GRU4Rec 与 SASRec+MLP 三种模型的推荐对比, 便于人工核查与论文展示。整体流程如图 3.7 所示。</w:t>
      </w:r>
    </w:p>
    <w:p>
      <w:pPr>
        <w:spacing w:before="120" w:after="40"/>
      </w:pPr>
      <w:r>
        <w:rPr>
          <w:b/>
          <w:sz w:val="21"/>
          <w:rFonts w:eastAsia="黑体" w:ascii="Times New Roman" w:hAnsi="Times New Roman"/>
        </w:rPr>
        <w:t>（1）Top-K 推荐生成</w:t>
      </w:r>
    </w:p>
    <w:p>
      <w:pPr>
        <w:spacing w:before="40" w:after="40" w:line="360" w:lineRule="auto"/>
        <w:ind w:firstLineChars="200" w:firstLine="420"/>
      </w:pPr>
      <w:r>
        <w:rPr>
          <w:b w:val="0"/>
          <w:sz w:val="21"/>
          <w:rFonts w:eastAsia="宋体" w:ascii="Times New Roman" w:hAnsi="Times New Roman"/>
        </w:rPr>
        <w:t>对每位待推荐用户, 模块先取其行为序列的最后 MAX_LEN 条交互, 左侧 padding 后送入训练好的 SASRec+MLP 得到全量得分 logits, 然后对 padding (item_id = 0) 与用户历史已交互商品对应的 logits 置为 -∞, 最后按降序排序取前 K 个 (K = 10) 内部 ID, 再经 id2item 还原为原始 sku_id, 屏蔽规则的形式化定义见式 (3-10)。</w:t>
      </w:r>
    </w:p>
    <w:p>
      <w:pPr>
        <w:spacing w:before="80" w:after="80"/>
        <w:jc w:val="center"/>
      </w:pPr>
      <m:oMath>
        <m:sSubSup>
          <m:e>
            <m:r>
              <m:rPr>
                <m:sty m:val="p"/>
              </m:rPr>
              <m:t xml:space="preserve">logits</m:t>
            </m:r>
          </m:e>
          <m:sub>
            <m:r>
              <m:t xml:space="preserve">u</m:t>
            </m:r>
          </m:sub>
          <m:sup>
            <m:r>
              <m:t xml:space="preserve">'</m:t>
            </m:r>
          </m:sup>
        </m:sSubSup>
        <m:r>
          <m:t xml:space="preserve">[j] = -∞   若 j = 0  或  j ∈ </m:t>
        </m:r>
        <m:sSub>
          <m:e>
            <m:r>
              <m:rPr>
                <m:sty m:val="p"/>
              </m:rPr>
              <m:t xml:space="preserve">seen</m:t>
            </m:r>
          </m:e>
          <m:sub>
            <m:r>
              <m:t xml:space="preserve">u</m:t>
            </m:r>
          </m:sub>
        </m:sSub>
        <m:r>
          <m:t xml:space="preserve">;    </m:t>
        </m:r>
        <m:sSub>
          <m:e>
            <m:r>
              <m:rPr>
                <m:sty m:val="p"/>
              </m:rPr>
              <m:t xml:space="preserve">TopK</m:t>
            </m:r>
          </m:e>
          <m:sub>
            <m:r>
              <m:t xml:space="preserve">u</m:t>
            </m:r>
          </m:sub>
        </m:sSub>
        <m:r>
          <m:t xml:space="preserve"> = </m:t>
        </m:r>
        <m:r>
          <m:rPr>
            <m:sty m:val="p"/>
          </m:rPr>
          <m:t xml:space="preserve">argsort↓</m:t>
        </m:r>
        <m:r>
          <m:t xml:space="preserve">(</m:t>
        </m:r>
        <m:sSubSup>
          <m:e>
            <m:r>
              <m:rPr>
                <m:sty m:val="p"/>
              </m:rPr>
              <m:t xml:space="preserve">logits</m:t>
            </m:r>
          </m:e>
          <m:sub>
            <m:r>
              <m:t xml:space="preserve">u</m:t>
            </m:r>
          </m:sub>
          <m:sup>
            <m:r>
              <m:t xml:space="preserve">'</m:t>
            </m:r>
          </m:sup>
        </m:sSubSup>
        <m:r>
          <m:t xml:space="preserve">)[ :K]</m:t>
        </m:r>
      </m:oMath>
      <w:r>
        <w:rPr>
          <w:b w:val="0"/>
          <w:sz w:val="21"/>
          <w:rFonts w:eastAsia="宋体" w:ascii="Times New Roman" w:hAnsi="Times New Roman"/>
        </w:rPr>
        <w:t xml:space="preserve">        (3-10)</w:t>
      </w:r>
    </w:p>
    <w:p>
      <w:pPr>
        <w:spacing w:before="120" w:after="40"/>
      </w:pPr>
      <w:r>
        <w:rPr>
          <w:b/>
          <w:sz w:val="21"/>
          <w:rFonts w:eastAsia="黑体" w:ascii="Times New Roman" w:hAnsi="Times New Roman"/>
        </w:rPr>
        <w:t>（2）可解释推荐理由</w:t>
      </w:r>
    </w:p>
    <w:p>
      <w:pPr>
        <w:spacing w:before="40" w:after="40" w:line="360" w:lineRule="auto"/>
        <w:ind w:firstLineChars="200" w:firstLine="420"/>
      </w:pPr>
      <w:r>
        <w:rPr>
          <w:b w:val="0"/>
          <w:sz w:val="21"/>
          <w:rFonts w:eastAsia="宋体" w:ascii="Times New Roman" w:hAnsi="Times New Roman"/>
        </w:rPr>
        <w:t>区别于以往黑箱式的深度推荐, 本模块利用 SASRec 最后一层的自注意力权重对每条推荐进行解释。对用户 u 的最后位置, 模块通过 get_user_repr_with_attn 取出注意力分布 α = (α₁, ..., α_L), argmax_i αᵢ 对应历史中对当前预测贡献最大的商品 sⱼ*; 进而比较 sⱼ* 与被推荐商品的品牌 / 品类一致性, 生成形如 “模型重点关注了您的历史商品 X (注意力权重 0.46), 为您推荐了同品牌的 Y” 的自然语言解释, 既忠实于模型内部决策路径, 又对终端用户友好。</w:t>
      </w:r>
    </w:p>
    <w:p>
      <w:pPr>
        <w:spacing w:before="120" w:after="40"/>
      </w:pPr>
      <w:r>
        <w:rPr>
          <w:b/>
          <w:sz w:val="21"/>
          <w:rFonts w:eastAsia="黑体" w:ascii="Times New Roman" w:hAnsi="Times New Roman"/>
        </w:rPr>
        <w:t>（3）HTML Demo 多模型对比展示</w:t>
      </w:r>
    </w:p>
    <w:p>
      <w:pPr>
        <w:spacing w:before="40" w:after="40" w:line="360" w:lineRule="auto"/>
        <w:ind w:firstLineChars="200" w:firstLine="420"/>
      </w:pPr>
      <w:r>
        <w:rPr>
          <w:b w:val="0"/>
          <w:sz w:val="21"/>
          <w:rFonts w:eastAsia="宋体" w:ascii="Times New Roman" w:hAnsi="Times New Roman"/>
        </w:rPr>
        <w:t>最终, 模块通过 5_gen_demo.py 把 20 名抽样用户的 SASRec+MLP 推荐结果、GRU4Rec 推荐结果与 Item-CF 推荐结果以及对应商品图标 / 注意力解释一并写入单页 HTML (output 同级目录下的 demo.html), 既可作为论文附图, 也可作为答辩演示的交互页面。</w:t>
      </w:r>
    </w:p>
    <w:p>
      <w:pPr>
        <w:spacing w:before="120" w:after="40"/>
        <w:jc w:val="center"/>
      </w:pPr>
      <w:r>
        <w:drawing>
          <wp:inline xmlns:a="http://schemas.openxmlformats.org/drawingml/2006/main" xmlns:pic="http://schemas.openxmlformats.org/drawingml/2006/picture">
            <wp:extent cx="5040000" cy="6610309"/>
            <wp:docPr id="7" name="Picture 7"/>
            <wp:cNvGraphicFramePr>
              <a:graphicFrameLocks noChangeAspect="1"/>
            </wp:cNvGraphicFramePr>
            <a:graphic>
              <a:graphicData uri="http://schemas.openxmlformats.org/drawingml/2006/picture">
                <pic:pic>
                  <pic:nvPicPr>
                    <pic:cNvPr id="0" name="3-7-output.png"/>
                    <pic:cNvPicPr/>
                  </pic:nvPicPr>
                  <pic:blipFill>
                    <a:blip r:embed="rId15"/>
                    <a:stretch>
                      <a:fillRect/>
                    </a:stretch>
                  </pic:blipFill>
                  <pic:spPr>
                    <a:xfrm>
                      <a:off x="0" y="0"/>
                      <a:ext cx="5040000" cy="6610309"/>
                    </a:xfrm>
                    <a:prstGeom prst="rect"/>
                  </pic:spPr>
                </pic:pic>
              </a:graphicData>
            </a:graphic>
          </wp:inline>
        </w:drawing>
      </w:r>
    </w:p>
    <w:p>
      <w:pPr>
        <w:spacing w:before="40" w:after="160"/>
        <w:jc w:val="center"/>
      </w:pPr>
      <w:r>
        <w:rPr>
          <w:b/>
          <w:sz w:val="21"/>
          <w:rFonts w:eastAsia="黑体" w:ascii="Times New Roman" w:hAnsi="Times New Roman"/>
        </w:rPr>
        <w:t>图 3.7  推荐输出与展示模块流程</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Times New Roman" w:hAnsi="Times New Roman" w:eastAsia="宋体"/>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