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C6ECB">
      <w:pPr>
        <w:spacing w:before="2880"/>
      </w:pPr>
    </w:p>
    <w:p w14:paraId="05A832DD">
      <w:pPr>
        <w:spacing w:before="0" w:after="0" w:line="360" w:lineRule="auto"/>
        <w:jc w:val="center"/>
      </w:pPr>
      <w:r>
        <w:rPr>
          <w:rFonts w:ascii="宋体" w:hAnsi="宋体" w:eastAsia="宋体" w:cs="宋体"/>
          <w:b/>
          <w:bCs/>
          <w:sz w:val="32"/>
          <w:szCs w:val="32"/>
        </w:rPr>
        <w:t>基于 SASRec 与多源属性融合的</w:t>
      </w:r>
    </w:p>
    <w:p w14:paraId="028453AA">
      <w:pPr>
        <w:spacing w:before="0" w:after="800" w:line="360" w:lineRule="auto"/>
        <w:jc w:val="center"/>
      </w:pPr>
      <w:r>
        <w:rPr>
          <w:rFonts w:ascii="宋体" w:hAnsi="宋体" w:eastAsia="宋体" w:cs="宋体"/>
          <w:b/>
          <w:bCs/>
          <w:sz w:val="32"/>
          <w:szCs w:val="32"/>
        </w:rPr>
        <w:t>京东商品可解释推荐系统实验报告</w:t>
      </w:r>
    </w:p>
    <w:p w14:paraId="678311FE">
      <w:pPr>
        <w:spacing w:before="180" w:after="0" w:line="360" w:lineRule="auto"/>
        <w:jc w:val="center"/>
      </w:pPr>
      <w:r>
        <w:rPr>
          <w:rFonts w:ascii="宋体" w:hAnsi="宋体" w:eastAsia="宋体" w:cs="宋体"/>
          <w:sz w:val="24"/>
          <w:szCs w:val="24"/>
        </w:rPr>
        <w:t>课程名称：大数据分析与应用</w:t>
      </w:r>
    </w:p>
    <w:p w14:paraId="007C56C8">
      <w:pPr>
        <w:spacing w:before="180" w:after="0" w:line="360" w:lineRule="auto"/>
        <w:jc w:val="center"/>
      </w:pPr>
      <w:r>
        <w:rPr>
          <w:rFonts w:ascii="宋体" w:hAnsi="宋体" w:eastAsia="宋体" w:cs="宋体"/>
          <w:sz w:val="24"/>
          <w:szCs w:val="24"/>
        </w:rPr>
        <w:t>学    院：计算机科学与技术学院</w:t>
      </w:r>
    </w:p>
    <w:p w14:paraId="0B7A32DA">
      <w:pPr>
        <w:spacing w:before="180" w:after="0" w:line="360" w:lineRule="auto"/>
        <w:jc w:val="center"/>
      </w:pPr>
      <w:r>
        <w:rPr>
          <w:rFonts w:ascii="宋体" w:hAnsi="宋体" w:eastAsia="宋体" w:cs="宋体"/>
          <w:sz w:val="24"/>
          <w:szCs w:val="24"/>
        </w:rPr>
        <w:t>姓    名：张三</w:t>
      </w:r>
    </w:p>
    <w:p w14:paraId="03DEDA95">
      <w:pPr>
        <w:spacing w:before="180" w:after="0" w:line="360" w:lineRule="auto"/>
        <w:jc w:val="center"/>
      </w:pPr>
      <w:r>
        <w:rPr>
          <w:rFonts w:ascii="宋体" w:hAnsi="宋体" w:eastAsia="宋体" w:cs="宋体"/>
          <w:sz w:val="24"/>
          <w:szCs w:val="24"/>
        </w:rPr>
        <w:t>学    号：20221234001</w:t>
      </w:r>
    </w:p>
    <w:p w14:paraId="27350C0C">
      <w:pPr>
        <w:spacing w:before="180" w:after="0" w:line="360" w:lineRule="auto"/>
        <w:jc w:val="center"/>
      </w:pPr>
      <w:r>
        <w:rPr>
          <w:rFonts w:ascii="宋体" w:hAnsi="宋体" w:eastAsia="宋体" w:cs="宋体"/>
          <w:sz w:val="24"/>
          <w:szCs w:val="24"/>
        </w:rPr>
        <w:t>日    期：2026年6月</w:t>
      </w:r>
    </w:p>
    <w:p w14:paraId="74C2F193">
      <w:r>
        <w:br w:type="page"/>
      </w:r>
    </w:p>
    <w:p w14:paraId="419C4A04">
      <w:pPr>
        <w:sectPr>
          <w:pgSz w:w="11906" w:h="16838"/>
          <w:pgMar w:top="1418" w:right="1418" w:bottom="1418" w:left="1418" w:header="708" w:footer="708" w:gutter="0"/>
          <w:cols w:space="720" w:num="1"/>
          <w:docGrid w:linePitch="360" w:charSpace="0"/>
        </w:sectPr>
      </w:pPr>
    </w:p>
    <w:p w14:paraId="0EF8A1A3">
      <w:pPr>
        <w:spacing w:before="480" w:after="200" w:line="360" w:lineRule="auto"/>
      </w:pPr>
      <w:r>
        <w:rPr>
          <w:rFonts w:ascii="宋体" w:hAnsi="宋体" w:eastAsia="宋体" w:cs="宋体"/>
          <w:b/>
          <w:bCs/>
          <w:sz w:val="28"/>
          <w:szCs w:val="28"/>
        </w:rPr>
        <w:t>一、课题背景</w:t>
      </w:r>
    </w:p>
    <w:p w14:paraId="1F6F7CB2">
      <w:pPr>
        <w:spacing w:before="0" w:after="60" w:line="360" w:lineRule="auto"/>
        <w:ind w:firstLine="480"/>
        <w:jc w:val="both"/>
      </w:pPr>
      <w:r>
        <w:rPr>
          <w:rFonts w:ascii="宋体" w:hAnsi="宋体" w:eastAsia="宋体" w:cs="宋体"/>
          <w:b w:val="0"/>
          <w:bCs w:val="0"/>
          <w:i w:val="0"/>
          <w:iCs w:val="0"/>
          <w:sz w:val="24"/>
          <w:szCs w:val="24"/>
        </w:rPr>
        <w:t>电商推荐系统是连接用户与商品的核心环节。早期基于统计共现的协同过滤方法在数据稀疏场景下精度不足，基于循环神经网络的序列推荐模型在处理长序列时存在梯度消失的问题。</w:t>
      </w:r>
      <w:r>
        <w:rPr>
          <w:rFonts w:ascii="Times New Roman" w:hAnsi="Times New Roman" w:eastAsia="Times New Roman" w:cs="Times New Roman"/>
          <w:b w:val="0"/>
          <w:bCs w:val="0"/>
          <w:i w:val="0"/>
          <w:iCs w:val="0"/>
          <w:sz w:val="24"/>
          <w:szCs w:val="24"/>
        </w:rPr>
        <w:t xml:space="preserve">SASRec </w:t>
      </w:r>
      <w:r>
        <w:rPr>
          <w:rFonts w:ascii="宋体" w:hAnsi="宋体" w:eastAsia="宋体" w:cs="宋体"/>
          <w:b w:val="0"/>
          <w:bCs w:val="0"/>
          <w:i w:val="0"/>
          <w:iCs w:val="0"/>
          <w:sz w:val="24"/>
          <w:szCs w:val="24"/>
        </w:rPr>
        <w:t>利用因果自注意力机制对用户行为序列进行动态建模，在多个公开基准上取得了较好的推荐效果。</w:t>
      </w:r>
    </w:p>
    <w:p w14:paraId="2FC40B36">
      <w:pPr>
        <w:spacing w:before="0" w:after="60" w:line="360" w:lineRule="auto"/>
        <w:ind w:firstLine="480"/>
        <w:jc w:val="both"/>
      </w:pPr>
      <w:r>
        <w:rPr>
          <w:rFonts w:ascii="宋体" w:hAnsi="宋体" w:eastAsia="宋体" w:cs="宋体"/>
          <w:b w:val="0"/>
          <w:bCs w:val="0"/>
          <w:i w:val="0"/>
          <w:iCs w:val="0"/>
          <w:sz w:val="24"/>
          <w:szCs w:val="24"/>
        </w:rPr>
        <w:t>本实验以京东</w:t>
      </w:r>
      <w:r>
        <w:rPr>
          <w:rFonts w:ascii="Times New Roman" w:hAnsi="Times New Roman" w:eastAsia="Times New Roman" w:cs="Times New Roman"/>
          <w:b w:val="0"/>
          <w:bCs w:val="0"/>
          <w:i w:val="0"/>
          <w:iCs w:val="0"/>
          <w:sz w:val="24"/>
          <w:szCs w:val="24"/>
        </w:rPr>
        <w:t xml:space="preserve"> 2016 </w:t>
      </w:r>
      <w:r>
        <w:rPr>
          <w:rFonts w:ascii="宋体" w:hAnsi="宋体" w:eastAsia="宋体" w:cs="宋体"/>
          <w:b w:val="0"/>
          <w:bCs w:val="0"/>
          <w:i w:val="0"/>
          <w:iCs w:val="0"/>
          <w:sz w:val="24"/>
          <w:szCs w:val="24"/>
        </w:rPr>
        <w:t>年二至四月的用户行为数据为基础，提出一种将商品离散属性在输入端注入</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序列编码器的融合方案，通过全量</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打分生成</w:t>
      </w:r>
      <w:r>
        <w:rPr>
          <w:rFonts w:ascii="Times New Roman" w:hAnsi="Times New Roman" w:eastAsia="Times New Roman" w:cs="Times New Roman"/>
          <w:b w:val="0"/>
          <w:bCs w:val="0"/>
          <w:i w:val="0"/>
          <w:iCs w:val="0"/>
          <w:sz w:val="24"/>
          <w:szCs w:val="24"/>
        </w:rPr>
        <w:t xml:space="preserve"> Top-K </w:t>
      </w:r>
      <w:r>
        <w:rPr>
          <w:rFonts w:ascii="宋体" w:hAnsi="宋体" w:eastAsia="宋体" w:cs="宋体"/>
          <w:b w:val="0"/>
          <w:bCs w:val="0"/>
          <w:i w:val="0"/>
          <w:iCs w:val="0"/>
          <w:sz w:val="24"/>
          <w:szCs w:val="24"/>
        </w:rPr>
        <w:t>推荐列表，并根据用户历史偏好自动生成自然语言推荐理由，最终以纯前端</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页面进行展示。</w:t>
      </w:r>
    </w:p>
    <w:p w14:paraId="1B21EDB3">
      <w:r>
        <w:br w:type="page"/>
      </w:r>
    </w:p>
    <w:p w14:paraId="03A204CD">
      <w:pPr>
        <w:spacing w:before="480" w:after="200" w:line="360" w:lineRule="auto"/>
      </w:pPr>
      <w:r>
        <w:rPr>
          <w:rFonts w:ascii="宋体" w:hAnsi="宋体" w:eastAsia="宋体" w:cs="宋体"/>
          <w:b/>
          <w:bCs/>
          <w:sz w:val="28"/>
          <w:szCs w:val="28"/>
        </w:rPr>
        <w:t>二、数据集与预处理</w:t>
      </w:r>
    </w:p>
    <w:p w14:paraId="6E125488">
      <w:pPr>
        <w:spacing w:before="0" w:after="60" w:line="360" w:lineRule="auto"/>
        <w:ind w:firstLine="480"/>
        <w:jc w:val="both"/>
      </w:pPr>
      <w:r>
        <w:rPr>
          <w:rFonts w:ascii="宋体" w:hAnsi="宋体" w:eastAsia="宋体" w:cs="宋体"/>
          <w:b w:val="0"/>
          <w:bCs w:val="0"/>
          <w:i w:val="0"/>
          <w:iCs w:val="0"/>
          <w:sz w:val="24"/>
          <w:szCs w:val="24"/>
        </w:rPr>
        <w:t>数据来源于京东</w:t>
      </w:r>
      <w:r>
        <w:rPr>
          <w:rFonts w:ascii="Times New Roman" w:hAnsi="Times New Roman" w:eastAsia="Times New Roman" w:cs="Times New Roman"/>
          <w:b w:val="0"/>
          <w:bCs w:val="0"/>
          <w:i w:val="0"/>
          <w:iCs w:val="0"/>
          <w:sz w:val="24"/>
          <w:szCs w:val="24"/>
        </w:rPr>
        <w:t xml:space="preserve"> JData </w:t>
      </w:r>
      <w:r>
        <w:rPr>
          <w:rFonts w:ascii="宋体" w:hAnsi="宋体" w:eastAsia="宋体" w:cs="宋体"/>
          <w:b w:val="0"/>
          <w:bCs w:val="0"/>
          <w:i w:val="0"/>
          <w:iCs w:val="0"/>
          <w:sz w:val="24"/>
          <w:szCs w:val="24"/>
        </w:rPr>
        <w:t>竞赛公开数据集，包含</w:t>
      </w:r>
      <w:r>
        <w:rPr>
          <w:rFonts w:ascii="Times New Roman" w:hAnsi="Times New Roman" w:eastAsia="Times New Roman" w:cs="Times New Roman"/>
          <w:b w:val="0"/>
          <w:bCs w:val="0"/>
          <w:i w:val="0"/>
          <w:iCs w:val="0"/>
          <w:sz w:val="24"/>
          <w:szCs w:val="24"/>
        </w:rPr>
        <w:t xml:space="preserve"> 2016 </w:t>
      </w:r>
      <w:r>
        <w:rPr>
          <w:rFonts w:ascii="宋体" w:hAnsi="宋体" w:eastAsia="宋体" w:cs="宋体"/>
          <w:b w:val="0"/>
          <w:bCs w:val="0"/>
          <w:i w:val="0"/>
          <w:iCs w:val="0"/>
          <w:sz w:val="24"/>
          <w:szCs w:val="24"/>
        </w:rPr>
        <w:t>年</w:t>
      </w:r>
      <w:r>
        <w:rPr>
          <w:rFonts w:ascii="Times New Roman" w:hAnsi="Times New Roman" w:eastAsia="Times New Roman" w:cs="Times New Roman"/>
          <w:b w:val="0"/>
          <w:bCs w:val="0"/>
          <w:i w:val="0"/>
          <w:iCs w:val="0"/>
          <w:sz w:val="24"/>
          <w:szCs w:val="24"/>
        </w:rPr>
        <w:t xml:space="preserve"> 2 </w:t>
      </w:r>
      <w:r>
        <w:rPr>
          <w:rFonts w:ascii="宋体" w:hAnsi="宋体" w:eastAsia="宋体" w:cs="宋体"/>
          <w:b w:val="0"/>
          <w:bCs w:val="0"/>
          <w:i w:val="0"/>
          <w:iCs w:val="0"/>
          <w:sz w:val="24"/>
          <w:szCs w:val="24"/>
        </w:rPr>
        <w:t>月至</w:t>
      </w:r>
      <w:r>
        <w:rPr>
          <w:rFonts w:ascii="Times New Roman" w:hAnsi="Times New Roman" w:eastAsia="Times New Roman" w:cs="Times New Roman"/>
          <w:b w:val="0"/>
          <w:bCs w:val="0"/>
          <w:i w:val="0"/>
          <w:iCs w:val="0"/>
          <w:sz w:val="24"/>
          <w:szCs w:val="24"/>
        </w:rPr>
        <w:t xml:space="preserve"> 4 </w:t>
      </w:r>
      <w:r>
        <w:rPr>
          <w:rFonts w:ascii="宋体" w:hAnsi="宋体" w:eastAsia="宋体" w:cs="宋体"/>
          <w:b w:val="0"/>
          <w:bCs w:val="0"/>
          <w:i w:val="0"/>
          <w:iCs w:val="0"/>
          <w:sz w:val="24"/>
          <w:szCs w:val="24"/>
        </w:rPr>
        <w:t>月三个月的用户行为日志、商品属性表与评论统计表。行为日志记录了浏览、收藏、加购和购买四类操作，原始日志共</w:t>
      </w:r>
      <w:r>
        <w:rPr>
          <w:rFonts w:ascii="Times New Roman" w:hAnsi="Times New Roman" w:eastAsia="Times New Roman" w:cs="Times New Roman"/>
          <w:b w:val="0"/>
          <w:bCs w:val="0"/>
          <w:i w:val="0"/>
          <w:iCs w:val="0"/>
          <w:sz w:val="24"/>
          <w:szCs w:val="24"/>
        </w:rPr>
        <w:t xml:space="preserve"> 50,601,736 </w:t>
      </w:r>
      <w:r>
        <w:rPr>
          <w:rFonts w:ascii="宋体" w:hAnsi="宋体" w:eastAsia="宋体" w:cs="宋体"/>
          <w:b w:val="0"/>
          <w:bCs w:val="0"/>
          <w:i w:val="0"/>
          <w:iCs w:val="0"/>
          <w:sz w:val="24"/>
          <w:szCs w:val="24"/>
        </w:rPr>
        <w:t>条记录。经过去除缺失值、保留有购买行为的用户并去除连续重复交互商品后，有效记录</w:t>
      </w:r>
      <w:r>
        <w:rPr>
          <w:rFonts w:ascii="Times New Roman" w:hAnsi="Times New Roman" w:eastAsia="Times New Roman" w:cs="Times New Roman"/>
          <w:b w:val="0"/>
          <w:bCs w:val="0"/>
          <w:i w:val="0"/>
          <w:iCs w:val="0"/>
          <w:sz w:val="24"/>
          <w:szCs w:val="24"/>
        </w:rPr>
        <w:t xml:space="preserve"> 23,812,749 </w:t>
      </w:r>
      <w:r>
        <w:rPr>
          <w:rFonts w:ascii="宋体" w:hAnsi="宋体" w:eastAsia="宋体" w:cs="宋体"/>
          <w:b w:val="0"/>
          <w:bCs w:val="0"/>
          <w:i w:val="0"/>
          <w:iCs w:val="0"/>
          <w:sz w:val="24"/>
          <w:szCs w:val="24"/>
        </w:rPr>
        <w:t>条，涉及</w:t>
      </w:r>
      <w:r>
        <w:rPr>
          <w:rFonts w:ascii="Times New Roman" w:hAnsi="Times New Roman" w:eastAsia="Times New Roman" w:cs="Times New Roman"/>
          <w:b w:val="0"/>
          <w:bCs w:val="0"/>
          <w:i w:val="0"/>
          <w:iCs w:val="0"/>
          <w:sz w:val="24"/>
          <w:szCs w:val="24"/>
        </w:rPr>
        <w:t xml:space="preserve"> 29,271 </w:t>
      </w:r>
      <w:r>
        <w:rPr>
          <w:rFonts w:ascii="宋体" w:hAnsi="宋体" w:eastAsia="宋体" w:cs="宋体"/>
          <w:b w:val="0"/>
          <w:bCs w:val="0"/>
          <w:i w:val="0"/>
          <w:iCs w:val="0"/>
          <w:sz w:val="24"/>
          <w:szCs w:val="24"/>
        </w:rPr>
        <w:t>名用户和</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件商品。数据集基本统计信息见表</w:t>
      </w:r>
      <w:r>
        <w:rPr>
          <w:rFonts w:ascii="Times New Roman" w:hAnsi="Times New Roman" w:eastAsia="Times New Roman" w:cs="Times New Roman"/>
          <w:b w:val="0"/>
          <w:bCs w:val="0"/>
          <w:i w:val="0"/>
          <w:iCs w:val="0"/>
          <w:sz w:val="24"/>
          <w:szCs w:val="24"/>
        </w:rPr>
        <w:t xml:space="preserve"> 1</w:t>
      </w:r>
      <w:r>
        <w:rPr>
          <w:rFonts w:ascii="宋体" w:hAnsi="宋体" w:eastAsia="宋体" w:cs="宋体"/>
          <w:b w:val="0"/>
          <w:bCs w:val="0"/>
          <w:i w:val="0"/>
          <w:iCs w:val="0"/>
          <w:sz w:val="24"/>
          <w:szCs w:val="24"/>
        </w:rPr>
        <w:t>。</w:t>
      </w:r>
    </w:p>
    <w:p w14:paraId="0756A036">
      <w:pPr>
        <w:spacing w:before="200" w:after="60"/>
        <w:jc w:val="center"/>
      </w:pPr>
      <w:r>
        <w:rPr>
          <w:rFonts w:ascii="宋体" w:hAnsi="宋体" w:eastAsia="宋体" w:cs="宋体"/>
          <w:sz w:val="21"/>
          <w:szCs w:val="21"/>
        </w:rPr>
        <w:t>表1  数据集基本统计信息</w:t>
      </w:r>
    </w:p>
    <w:tbl>
      <w:tblPr>
        <w:tblStyle w:val="11"/>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447"/>
        <w:gridCol w:w="5623"/>
      </w:tblGrid>
      <w:tr w14:paraId="343B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6512083C">
            <w:pPr>
              <w:spacing w:line="288" w:lineRule="auto"/>
              <w:jc w:val="center"/>
            </w:pPr>
            <w:r>
              <w:rPr>
                <w:rFonts w:ascii="宋体" w:hAnsi="宋体" w:eastAsia="宋体" w:cs="宋体"/>
                <w:b/>
                <w:bCs/>
                <w:i w:val="0"/>
                <w:iCs w:val="0"/>
                <w:sz w:val="22"/>
                <w:szCs w:val="22"/>
              </w:rPr>
              <w:t>统计项</w:t>
            </w:r>
          </w:p>
        </w:tc>
        <w:tc>
          <w:tcPr>
            <w:tcW w:w="5623"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195885AF">
            <w:pPr>
              <w:spacing w:line="288" w:lineRule="auto"/>
              <w:jc w:val="center"/>
            </w:pPr>
            <w:r>
              <w:rPr>
                <w:rFonts w:ascii="宋体" w:hAnsi="宋体" w:eastAsia="宋体" w:cs="宋体"/>
                <w:b/>
                <w:bCs/>
                <w:i w:val="0"/>
                <w:iCs w:val="0"/>
                <w:sz w:val="22"/>
                <w:szCs w:val="22"/>
              </w:rPr>
              <w:t>数值</w:t>
            </w:r>
          </w:p>
        </w:tc>
      </w:tr>
      <w:tr w14:paraId="1A0C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8619025">
            <w:pPr>
              <w:spacing w:line="288" w:lineRule="auto"/>
              <w:jc w:val="center"/>
            </w:pPr>
            <w:r>
              <w:rPr>
                <w:rFonts w:ascii="宋体" w:hAnsi="宋体" w:eastAsia="宋体" w:cs="宋体"/>
                <w:b w:val="0"/>
                <w:bCs w:val="0"/>
                <w:i w:val="0"/>
                <w:iCs w:val="0"/>
                <w:sz w:val="21"/>
                <w:szCs w:val="21"/>
              </w:rPr>
              <w:t>原始行为记录数</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A429E9A">
            <w:pPr>
              <w:spacing w:line="288" w:lineRule="auto"/>
              <w:jc w:val="center"/>
            </w:pPr>
            <w:r>
              <w:rPr>
                <w:rFonts w:ascii="Times New Roman" w:hAnsi="Times New Roman" w:eastAsia="Times New Roman" w:cs="Times New Roman"/>
                <w:b w:val="0"/>
                <w:bCs w:val="0"/>
                <w:i w:val="0"/>
                <w:iCs w:val="0"/>
                <w:sz w:val="21"/>
                <w:szCs w:val="21"/>
              </w:rPr>
              <w:t xml:space="preserve">50,601,736 </w:t>
            </w:r>
            <w:r>
              <w:rPr>
                <w:rFonts w:ascii="宋体" w:hAnsi="宋体" w:eastAsia="宋体" w:cs="宋体"/>
                <w:b w:val="0"/>
                <w:bCs w:val="0"/>
                <w:i w:val="0"/>
                <w:iCs w:val="0"/>
                <w:sz w:val="21"/>
                <w:szCs w:val="21"/>
              </w:rPr>
              <w:t>条</w:t>
            </w:r>
          </w:p>
        </w:tc>
      </w:tr>
      <w:tr w14:paraId="04EF0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78623C9E">
            <w:pPr>
              <w:spacing w:line="288" w:lineRule="auto"/>
              <w:jc w:val="center"/>
            </w:pPr>
            <w:r>
              <w:rPr>
                <w:rFonts w:ascii="宋体" w:hAnsi="宋体" w:eastAsia="宋体" w:cs="宋体"/>
                <w:b w:val="0"/>
                <w:bCs w:val="0"/>
                <w:i w:val="0"/>
                <w:iCs w:val="0"/>
                <w:sz w:val="21"/>
                <w:szCs w:val="21"/>
              </w:rPr>
              <w:t>过滤后有效记录数</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8AA881E">
            <w:pPr>
              <w:spacing w:line="288" w:lineRule="auto"/>
              <w:jc w:val="center"/>
            </w:pPr>
            <w:r>
              <w:rPr>
                <w:rFonts w:ascii="Times New Roman" w:hAnsi="Times New Roman" w:eastAsia="Times New Roman" w:cs="Times New Roman"/>
                <w:b w:val="0"/>
                <w:bCs w:val="0"/>
                <w:i w:val="0"/>
                <w:iCs w:val="0"/>
                <w:sz w:val="21"/>
                <w:szCs w:val="21"/>
              </w:rPr>
              <w:t xml:space="preserve">23,812,749 </w:t>
            </w:r>
            <w:r>
              <w:rPr>
                <w:rFonts w:ascii="宋体" w:hAnsi="宋体" w:eastAsia="宋体" w:cs="宋体"/>
                <w:b w:val="0"/>
                <w:bCs w:val="0"/>
                <w:i w:val="0"/>
                <w:iCs w:val="0"/>
                <w:sz w:val="21"/>
                <w:szCs w:val="21"/>
              </w:rPr>
              <w:t>条</w:t>
            </w:r>
          </w:p>
        </w:tc>
      </w:tr>
      <w:tr w14:paraId="2984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5CA4A698">
            <w:pPr>
              <w:spacing w:line="288" w:lineRule="auto"/>
              <w:jc w:val="center"/>
            </w:pPr>
            <w:r>
              <w:rPr>
                <w:rFonts w:ascii="宋体" w:hAnsi="宋体" w:eastAsia="宋体" w:cs="宋体"/>
                <w:b w:val="0"/>
                <w:bCs w:val="0"/>
                <w:i w:val="0"/>
                <w:iCs w:val="0"/>
                <w:sz w:val="21"/>
                <w:szCs w:val="21"/>
              </w:rPr>
              <w:t>有效用户序列数</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5B24C91">
            <w:pPr>
              <w:spacing w:line="288" w:lineRule="auto"/>
              <w:jc w:val="center"/>
            </w:pPr>
            <w:r>
              <w:rPr>
                <w:rFonts w:ascii="Times New Roman" w:hAnsi="Times New Roman" w:eastAsia="Times New Roman" w:cs="Times New Roman"/>
                <w:b w:val="0"/>
                <w:bCs w:val="0"/>
                <w:i w:val="0"/>
                <w:iCs w:val="0"/>
                <w:sz w:val="21"/>
                <w:szCs w:val="21"/>
              </w:rPr>
              <w:t>29,271</w:t>
            </w:r>
          </w:p>
        </w:tc>
      </w:tr>
      <w:tr w14:paraId="3D44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76001FBF">
            <w:pPr>
              <w:spacing w:line="288" w:lineRule="auto"/>
              <w:jc w:val="center"/>
            </w:pPr>
            <w:r>
              <w:rPr>
                <w:rFonts w:ascii="宋体" w:hAnsi="宋体" w:eastAsia="宋体" w:cs="宋体"/>
                <w:b w:val="0"/>
                <w:bCs w:val="0"/>
                <w:i w:val="0"/>
                <w:iCs w:val="0"/>
                <w:sz w:val="21"/>
                <w:szCs w:val="21"/>
              </w:rPr>
              <w:t>商品总数</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61E2E07B">
            <w:pPr>
              <w:spacing w:line="288" w:lineRule="auto"/>
              <w:jc w:val="center"/>
            </w:pPr>
            <w:r>
              <w:rPr>
                <w:rFonts w:ascii="Times New Roman" w:hAnsi="Times New Roman" w:eastAsia="Times New Roman" w:cs="Times New Roman"/>
                <w:b w:val="0"/>
                <w:bCs w:val="0"/>
                <w:i w:val="0"/>
                <w:iCs w:val="0"/>
                <w:sz w:val="21"/>
                <w:szCs w:val="21"/>
              </w:rPr>
              <w:t>23,738</w:t>
            </w:r>
          </w:p>
        </w:tc>
      </w:tr>
      <w:tr w14:paraId="0523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14E6879">
            <w:pPr>
              <w:spacing w:line="288" w:lineRule="auto"/>
              <w:jc w:val="center"/>
            </w:pPr>
            <w:r>
              <w:rPr>
                <w:rFonts w:ascii="宋体" w:hAnsi="宋体" w:eastAsia="宋体" w:cs="宋体"/>
                <w:b w:val="0"/>
                <w:bCs w:val="0"/>
                <w:i w:val="0"/>
                <w:iCs w:val="0"/>
                <w:sz w:val="21"/>
                <w:szCs w:val="21"/>
              </w:rPr>
              <w:t>属性匹配商品数</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6FC8079">
            <w:pPr>
              <w:spacing w:line="288" w:lineRule="auto"/>
              <w:jc w:val="center"/>
            </w:pPr>
            <w:r>
              <w:rPr>
                <w:rFonts w:ascii="Times New Roman" w:hAnsi="Times New Roman" w:eastAsia="Times New Roman" w:cs="Times New Roman"/>
                <w:b w:val="0"/>
                <w:bCs w:val="0"/>
                <w:i w:val="0"/>
                <w:iCs w:val="0"/>
                <w:sz w:val="21"/>
                <w:szCs w:val="21"/>
              </w:rPr>
              <w:t>23,738</w:t>
            </w:r>
            <w:r>
              <w:rPr>
                <w:rFonts w:ascii="宋体" w:hAnsi="宋体" w:eastAsia="宋体" w:cs="宋体"/>
                <w:b w:val="0"/>
                <w:bCs w:val="0"/>
                <w:i w:val="0"/>
                <w:iCs w:val="0"/>
                <w:sz w:val="21"/>
                <w:szCs w:val="21"/>
              </w:rPr>
              <w:t>（</w:t>
            </w:r>
            <w:r>
              <w:rPr>
                <w:rFonts w:ascii="Times New Roman" w:hAnsi="Times New Roman" w:eastAsia="Times New Roman" w:cs="Times New Roman"/>
                <w:b w:val="0"/>
                <w:bCs w:val="0"/>
                <w:i w:val="0"/>
                <w:iCs w:val="0"/>
                <w:sz w:val="21"/>
                <w:szCs w:val="21"/>
              </w:rPr>
              <w:t>100%</w:t>
            </w:r>
            <w:r>
              <w:rPr>
                <w:rFonts w:ascii="宋体" w:hAnsi="宋体" w:eastAsia="宋体" w:cs="宋体"/>
                <w:b w:val="0"/>
                <w:bCs w:val="0"/>
                <w:i w:val="0"/>
                <w:iCs w:val="0"/>
                <w:sz w:val="21"/>
                <w:szCs w:val="21"/>
              </w:rPr>
              <w:t>）</w:t>
            </w:r>
          </w:p>
        </w:tc>
      </w:tr>
      <w:tr w14:paraId="532F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AEF42A0">
            <w:pPr>
              <w:spacing w:line="288" w:lineRule="auto"/>
              <w:jc w:val="center"/>
            </w:pPr>
            <w:r>
              <w:rPr>
                <w:rFonts w:ascii="宋体" w:hAnsi="宋体" w:eastAsia="宋体" w:cs="宋体"/>
                <w:b w:val="0"/>
                <w:bCs w:val="0"/>
                <w:i w:val="0"/>
                <w:iCs w:val="0"/>
                <w:sz w:val="21"/>
                <w:szCs w:val="21"/>
              </w:rPr>
              <w:t>训练样本总数</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36FB0715">
            <w:pPr>
              <w:spacing w:line="288" w:lineRule="auto"/>
              <w:jc w:val="center"/>
            </w:pPr>
            <w:r>
              <w:rPr>
                <w:rFonts w:ascii="Times New Roman" w:hAnsi="Times New Roman" w:eastAsia="Times New Roman" w:cs="Times New Roman"/>
                <w:b w:val="0"/>
                <w:bCs w:val="0"/>
                <w:i w:val="0"/>
                <w:iCs w:val="0"/>
                <w:sz w:val="21"/>
                <w:szCs w:val="21"/>
              </w:rPr>
              <w:t>5,874,109</w:t>
            </w:r>
          </w:p>
        </w:tc>
      </w:tr>
      <w:tr w14:paraId="7EE8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750DAC07">
            <w:pPr>
              <w:spacing w:line="288" w:lineRule="auto"/>
              <w:jc w:val="center"/>
            </w:pPr>
            <w:r>
              <w:rPr>
                <w:rFonts w:ascii="宋体" w:hAnsi="宋体" w:eastAsia="宋体" w:cs="宋体"/>
                <w:b w:val="0"/>
                <w:bCs w:val="0"/>
                <w:i w:val="0"/>
                <w:iCs w:val="0"/>
                <w:sz w:val="21"/>
                <w:szCs w:val="21"/>
              </w:rPr>
              <w:t>时间跨度</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948C8D3">
            <w:pPr>
              <w:spacing w:line="288" w:lineRule="auto"/>
              <w:jc w:val="center"/>
            </w:pPr>
            <w:r>
              <w:rPr>
                <w:rFonts w:ascii="Times New Roman" w:hAnsi="Times New Roman" w:eastAsia="Times New Roman" w:cs="Times New Roman"/>
                <w:b w:val="0"/>
                <w:bCs w:val="0"/>
                <w:i w:val="0"/>
                <w:iCs w:val="0"/>
                <w:sz w:val="21"/>
                <w:szCs w:val="21"/>
              </w:rPr>
              <w:t xml:space="preserve">2016 </w:t>
            </w:r>
            <w:r>
              <w:rPr>
                <w:rFonts w:ascii="宋体" w:hAnsi="宋体" w:eastAsia="宋体" w:cs="宋体"/>
                <w:b w:val="0"/>
                <w:bCs w:val="0"/>
                <w:i w:val="0"/>
                <w:iCs w:val="0"/>
                <w:sz w:val="21"/>
                <w:szCs w:val="21"/>
              </w:rPr>
              <w:t>年</w:t>
            </w:r>
            <w:r>
              <w:rPr>
                <w:rFonts w:ascii="Times New Roman" w:hAnsi="Times New Roman" w:eastAsia="Times New Roman" w:cs="Times New Roman"/>
                <w:b w:val="0"/>
                <w:bCs w:val="0"/>
                <w:i w:val="0"/>
                <w:iCs w:val="0"/>
                <w:sz w:val="21"/>
                <w:szCs w:val="21"/>
              </w:rPr>
              <w:t xml:space="preserve"> 2 </w:t>
            </w:r>
            <w:r>
              <w:rPr>
                <w:rFonts w:ascii="宋体" w:hAnsi="宋体" w:eastAsia="宋体" w:cs="宋体"/>
                <w:b w:val="0"/>
                <w:bCs w:val="0"/>
                <w:i w:val="0"/>
                <w:iCs w:val="0"/>
                <w:sz w:val="21"/>
                <w:szCs w:val="21"/>
              </w:rPr>
              <w:t>月至</w:t>
            </w:r>
            <w:r>
              <w:rPr>
                <w:rFonts w:ascii="Times New Roman" w:hAnsi="Times New Roman" w:eastAsia="Times New Roman" w:cs="Times New Roman"/>
                <w:b w:val="0"/>
                <w:bCs w:val="0"/>
                <w:i w:val="0"/>
                <w:iCs w:val="0"/>
                <w:sz w:val="21"/>
                <w:szCs w:val="21"/>
              </w:rPr>
              <w:t xml:space="preserve"> 4 </w:t>
            </w:r>
            <w:r>
              <w:rPr>
                <w:rFonts w:ascii="宋体" w:hAnsi="宋体" w:eastAsia="宋体" w:cs="宋体"/>
                <w:b w:val="0"/>
                <w:bCs w:val="0"/>
                <w:i w:val="0"/>
                <w:iCs w:val="0"/>
                <w:sz w:val="21"/>
                <w:szCs w:val="21"/>
              </w:rPr>
              <w:t>月</w:t>
            </w:r>
          </w:p>
        </w:tc>
      </w:tr>
      <w:tr w14:paraId="5732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4BC79AC">
            <w:pPr>
              <w:spacing w:line="288" w:lineRule="auto"/>
              <w:jc w:val="center"/>
            </w:pPr>
            <w:r>
              <w:rPr>
                <w:rFonts w:ascii="宋体" w:hAnsi="宋体" w:eastAsia="宋体" w:cs="宋体"/>
                <w:b w:val="0"/>
                <w:bCs w:val="0"/>
                <w:i w:val="0"/>
                <w:iCs w:val="0"/>
                <w:sz w:val="21"/>
                <w:szCs w:val="21"/>
              </w:rPr>
              <w:t>商品属性维度</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462C8B3D">
            <w:pPr>
              <w:spacing w:line="288" w:lineRule="auto"/>
              <w:jc w:val="center"/>
            </w:pPr>
            <w:r>
              <w:rPr>
                <w:rFonts w:ascii="宋体" w:hAnsi="宋体" w:eastAsia="宋体" w:cs="宋体"/>
                <w:b w:val="0"/>
                <w:bCs w:val="0"/>
                <w:i w:val="0"/>
                <w:iCs w:val="0"/>
                <w:sz w:val="21"/>
                <w:szCs w:val="21"/>
              </w:rPr>
              <w:t>品类、品牌、</w:t>
            </w:r>
            <w:r>
              <w:rPr>
                <w:rFonts w:ascii="Times New Roman" w:hAnsi="Times New Roman" w:eastAsia="Times New Roman" w:cs="Times New Roman"/>
                <w:b w:val="0"/>
                <w:bCs w:val="0"/>
                <w:i w:val="0"/>
                <w:iCs w:val="0"/>
                <w:sz w:val="21"/>
                <w:szCs w:val="21"/>
              </w:rPr>
              <w:t>a1</w:t>
            </w:r>
            <w:r>
              <w:rPr>
                <w:rFonts w:ascii="宋体" w:hAnsi="宋体" w:eastAsia="宋体" w:cs="宋体"/>
                <w:b w:val="0"/>
                <w:bCs w:val="0"/>
                <w:i w:val="0"/>
                <w:iCs w:val="0"/>
                <w:sz w:val="21"/>
                <w:szCs w:val="21"/>
              </w:rPr>
              <w:t>、</w:t>
            </w:r>
            <w:r>
              <w:rPr>
                <w:rFonts w:ascii="Times New Roman" w:hAnsi="Times New Roman" w:eastAsia="Times New Roman" w:cs="Times New Roman"/>
                <w:b w:val="0"/>
                <w:bCs w:val="0"/>
                <w:i w:val="0"/>
                <w:iCs w:val="0"/>
                <w:sz w:val="21"/>
                <w:szCs w:val="21"/>
              </w:rPr>
              <w:t>a2</w:t>
            </w:r>
            <w:r>
              <w:rPr>
                <w:rFonts w:ascii="宋体" w:hAnsi="宋体" w:eastAsia="宋体" w:cs="宋体"/>
                <w:b w:val="0"/>
                <w:bCs w:val="0"/>
                <w:i w:val="0"/>
                <w:iCs w:val="0"/>
                <w:sz w:val="21"/>
                <w:szCs w:val="21"/>
              </w:rPr>
              <w:t>、</w:t>
            </w:r>
            <w:r>
              <w:rPr>
                <w:rFonts w:ascii="Times New Roman" w:hAnsi="Times New Roman" w:eastAsia="Times New Roman" w:cs="Times New Roman"/>
                <w:b w:val="0"/>
                <w:bCs w:val="0"/>
                <w:i w:val="0"/>
                <w:iCs w:val="0"/>
                <w:sz w:val="21"/>
                <w:szCs w:val="21"/>
              </w:rPr>
              <w:t>a3</w:t>
            </w:r>
            <w:r>
              <w:rPr>
                <w:rFonts w:ascii="宋体" w:hAnsi="宋体" w:eastAsia="宋体" w:cs="宋体"/>
                <w:b w:val="0"/>
                <w:bCs w:val="0"/>
                <w:i w:val="0"/>
                <w:iCs w:val="0"/>
                <w:sz w:val="21"/>
                <w:szCs w:val="21"/>
              </w:rPr>
              <w:t>、评论数，共</w:t>
            </w:r>
            <w:r>
              <w:rPr>
                <w:rFonts w:ascii="Times New Roman" w:hAnsi="Times New Roman" w:eastAsia="Times New Roman" w:cs="Times New Roman"/>
                <w:b w:val="0"/>
                <w:bCs w:val="0"/>
                <w:i w:val="0"/>
                <w:iCs w:val="0"/>
                <w:sz w:val="21"/>
                <w:szCs w:val="21"/>
              </w:rPr>
              <w:t xml:space="preserve"> 6 </w:t>
            </w:r>
            <w:r>
              <w:rPr>
                <w:rFonts w:ascii="宋体" w:hAnsi="宋体" w:eastAsia="宋体" w:cs="宋体"/>
                <w:b w:val="0"/>
                <w:bCs w:val="0"/>
                <w:i w:val="0"/>
                <w:iCs w:val="0"/>
                <w:sz w:val="21"/>
                <w:szCs w:val="21"/>
              </w:rPr>
              <w:t>维</w:t>
            </w:r>
          </w:p>
        </w:tc>
      </w:tr>
    </w:tbl>
    <w:p w14:paraId="0CA90C98">
      <w:pPr>
        <w:spacing w:before="0" w:after="0"/>
      </w:pPr>
    </w:p>
    <w:p w14:paraId="47B0AE44">
      <w:pPr>
        <w:spacing w:before="0" w:after="60" w:line="360" w:lineRule="auto"/>
        <w:ind w:firstLine="480"/>
        <w:jc w:val="both"/>
      </w:pPr>
      <w:r>
        <w:rPr>
          <w:rFonts w:ascii="宋体" w:hAnsi="宋体" w:eastAsia="宋体" w:cs="宋体"/>
          <w:b w:val="0"/>
          <w:bCs w:val="0"/>
          <w:i w:val="0"/>
          <w:iCs w:val="0"/>
          <w:sz w:val="24"/>
          <w:szCs w:val="24"/>
        </w:rPr>
        <w:t>商品属性表通过</w:t>
      </w:r>
      <w:r>
        <w:rPr>
          <w:rFonts w:ascii="Times New Roman" w:hAnsi="Times New Roman" w:eastAsia="Times New Roman" w:cs="Times New Roman"/>
          <w:b w:val="0"/>
          <w:bCs w:val="0"/>
          <w:i w:val="0"/>
          <w:iCs w:val="0"/>
          <w:sz w:val="24"/>
          <w:szCs w:val="24"/>
        </w:rPr>
        <w:t xml:space="preserve"> sku_id </w:t>
      </w:r>
      <w:r>
        <w:rPr>
          <w:rFonts w:ascii="宋体" w:hAnsi="宋体" w:eastAsia="宋体" w:cs="宋体"/>
          <w:b w:val="0"/>
          <w:bCs w:val="0"/>
          <w:i w:val="0"/>
          <w:iCs w:val="0"/>
          <w:sz w:val="24"/>
          <w:szCs w:val="24"/>
        </w:rPr>
        <w:t>与行为日志关联，评论统计表取每件商品的最新一条评论记录中的评论数字段。</w:t>
      </w:r>
      <w:r>
        <w:rPr>
          <w:rFonts w:ascii="Times New Roman" w:hAnsi="Times New Roman" w:eastAsia="Times New Roman" w:cs="Times New Roman"/>
          <w:b w:val="0"/>
          <w:bCs w:val="0"/>
          <w:i w:val="0"/>
          <w:iCs w:val="0"/>
          <w:sz w:val="24"/>
          <w:szCs w:val="24"/>
        </w:rPr>
        <w:t xml:space="preserve">a1 </w:t>
      </w:r>
      <w:r>
        <w:rPr>
          <w:rFonts w:ascii="宋体" w:hAnsi="宋体" w:eastAsia="宋体" w:cs="宋体"/>
          <w:b w:val="0"/>
          <w:bCs w:val="0"/>
          <w:i w:val="0"/>
          <w:iCs w:val="0"/>
          <w:sz w:val="24"/>
          <w:szCs w:val="24"/>
        </w:rPr>
        <w:t>至</w:t>
      </w:r>
      <w:r>
        <w:rPr>
          <w:rFonts w:ascii="Times New Roman" w:hAnsi="Times New Roman" w:eastAsia="Times New Roman" w:cs="Times New Roman"/>
          <w:b w:val="0"/>
          <w:bCs w:val="0"/>
          <w:i w:val="0"/>
          <w:iCs w:val="0"/>
          <w:sz w:val="24"/>
          <w:szCs w:val="24"/>
        </w:rPr>
        <w:t xml:space="preserve"> a3 </w:t>
      </w:r>
      <w:r>
        <w:rPr>
          <w:rFonts w:ascii="宋体" w:hAnsi="宋体" w:eastAsia="宋体" w:cs="宋体"/>
          <w:b w:val="0"/>
          <w:bCs w:val="0"/>
          <w:i w:val="0"/>
          <w:iCs w:val="0"/>
          <w:sz w:val="24"/>
          <w:szCs w:val="24"/>
        </w:rPr>
        <w:t>列中的缺失标记（</w:t>
      </w:r>
      <w:r>
        <w:rPr>
          <w:rFonts w:ascii="Times New Roman" w:hAnsi="Times New Roman" w:eastAsia="Times New Roman" w:cs="Times New Roman"/>
          <w:b w:val="0"/>
          <w:bCs w:val="0"/>
          <w:i w:val="0"/>
          <w:iCs w:val="0"/>
          <w:sz w:val="24"/>
          <w:szCs w:val="24"/>
        </w:rPr>
        <w:t>-1</w:t>
      </w:r>
      <w:r>
        <w:rPr>
          <w:rFonts w:ascii="宋体" w:hAnsi="宋体" w:eastAsia="宋体" w:cs="宋体"/>
          <w:b w:val="0"/>
          <w:bCs w:val="0"/>
          <w:i w:val="0"/>
          <w:iCs w:val="0"/>
          <w:sz w:val="24"/>
          <w:szCs w:val="24"/>
        </w:rPr>
        <w:t>）统一置为</w:t>
      </w:r>
      <w:r>
        <w:rPr>
          <w:rFonts w:ascii="Times New Roman" w:hAnsi="Times New Roman" w:eastAsia="Times New Roman" w:cs="Times New Roman"/>
          <w:b w:val="0"/>
          <w:bCs w:val="0"/>
          <w:i w:val="0"/>
          <w:iCs w:val="0"/>
          <w:sz w:val="24"/>
          <w:szCs w:val="24"/>
        </w:rPr>
        <w:t xml:space="preserve"> 0</w:t>
      </w:r>
      <w:r>
        <w:rPr>
          <w:rFonts w:ascii="宋体" w:hAnsi="宋体" w:eastAsia="宋体" w:cs="宋体"/>
          <w:b w:val="0"/>
          <w:bCs w:val="0"/>
          <w:i w:val="0"/>
          <w:iCs w:val="0"/>
          <w:sz w:val="24"/>
          <w:szCs w:val="24"/>
        </w:rPr>
        <w:t>，评论数进行</w:t>
      </w:r>
      <w:r>
        <w:rPr>
          <w:rFonts w:ascii="Times New Roman" w:hAnsi="Times New Roman" w:eastAsia="Times New Roman" w:cs="Times New Roman"/>
          <w:b w:val="0"/>
          <w:bCs w:val="0"/>
          <w:i w:val="0"/>
          <w:iCs w:val="0"/>
          <w:sz w:val="24"/>
          <w:szCs w:val="24"/>
        </w:rPr>
        <w:t xml:space="preserve"> 0-1 </w:t>
      </w:r>
      <w:r>
        <w:rPr>
          <w:rFonts w:ascii="宋体" w:hAnsi="宋体" w:eastAsia="宋体" w:cs="宋体"/>
          <w:b w:val="0"/>
          <w:bCs w:val="0"/>
          <w:i w:val="0"/>
          <w:iCs w:val="0"/>
          <w:sz w:val="24"/>
          <w:szCs w:val="24"/>
        </w:rPr>
        <w:t>最小最大归一化处理。离散属性（品类、品牌、</w:t>
      </w:r>
      <w:r>
        <w:rPr>
          <w:rFonts w:ascii="Times New Roman" w:hAnsi="Times New Roman" w:eastAsia="Times New Roman" w:cs="Times New Roman"/>
          <w:b w:val="0"/>
          <w:bCs w:val="0"/>
          <w:i w:val="0"/>
          <w:iCs w:val="0"/>
          <w:sz w:val="24"/>
          <w:szCs w:val="24"/>
        </w:rPr>
        <w:t>a1-a3</w:t>
      </w:r>
      <w:r>
        <w:rPr>
          <w:rFonts w:ascii="宋体" w:hAnsi="宋体" w:eastAsia="宋体" w:cs="宋体"/>
          <w:b w:val="0"/>
          <w:bCs w:val="0"/>
          <w:i w:val="0"/>
          <w:iCs w:val="0"/>
          <w:sz w:val="24"/>
          <w:szCs w:val="24"/>
        </w:rPr>
        <w:t>）保留原始整数编码，后续在模型中通过独立</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层学习向量表示。</w:t>
      </w:r>
    </w:p>
    <w:p w14:paraId="28DFE2CF">
      <w:pPr>
        <w:spacing w:before="0" w:after="60" w:line="360" w:lineRule="auto"/>
        <w:ind w:firstLine="480"/>
        <w:jc w:val="both"/>
      </w:pPr>
      <w:r>
        <w:rPr>
          <w:rFonts w:ascii="宋体" w:hAnsi="宋体" w:eastAsia="宋体" w:cs="宋体"/>
          <w:b w:val="0"/>
          <w:bCs w:val="0"/>
          <w:i w:val="0"/>
          <w:iCs w:val="0"/>
          <w:sz w:val="24"/>
          <w:szCs w:val="24"/>
        </w:rPr>
        <w:t>用户行为序列按时间升序排列，去除连续重复项后对商品重新编号，编号从</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开始，预留</w:t>
      </w:r>
      <w:r>
        <w:rPr>
          <w:rFonts w:ascii="Times New Roman" w:hAnsi="Times New Roman" w:eastAsia="Times New Roman" w:cs="Times New Roman"/>
          <w:b w:val="0"/>
          <w:bCs w:val="0"/>
          <w:i w:val="0"/>
          <w:iCs w:val="0"/>
          <w:sz w:val="24"/>
          <w:szCs w:val="24"/>
        </w:rPr>
        <w:t xml:space="preserve"> 0 </w:t>
      </w:r>
      <w:r>
        <w:rPr>
          <w:rFonts w:ascii="宋体" w:hAnsi="宋体" w:eastAsia="宋体" w:cs="宋体"/>
          <w:b w:val="0"/>
          <w:bCs w:val="0"/>
          <w:i w:val="0"/>
          <w:iCs w:val="0"/>
          <w:sz w:val="24"/>
          <w:szCs w:val="24"/>
        </w:rPr>
        <w:t>作为序列填充标记。每位用户的序列末尾一条记录作为测试目标，其余记录组成训练序列，序列截断长度为</w:t>
      </w:r>
      <w:r>
        <w:rPr>
          <w:rFonts w:ascii="Times New Roman" w:hAnsi="Times New Roman" w:eastAsia="Times New Roman" w:cs="Times New Roman"/>
          <w:b w:val="0"/>
          <w:bCs w:val="0"/>
          <w:i w:val="0"/>
          <w:iCs w:val="0"/>
          <w:sz w:val="24"/>
          <w:szCs w:val="24"/>
        </w:rPr>
        <w:t xml:space="preserve"> 50</w:t>
      </w:r>
      <w:r>
        <w:rPr>
          <w:rFonts w:ascii="宋体" w:hAnsi="宋体" w:eastAsia="宋体" w:cs="宋体"/>
          <w:b w:val="0"/>
          <w:bCs w:val="0"/>
          <w:i w:val="0"/>
          <w:iCs w:val="0"/>
          <w:sz w:val="24"/>
          <w:szCs w:val="24"/>
        </w:rPr>
        <w:t>，不足时在左侧补</w:t>
      </w:r>
      <w:r>
        <w:rPr>
          <w:rFonts w:ascii="Times New Roman" w:hAnsi="Times New Roman" w:eastAsia="Times New Roman" w:cs="Times New Roman"/>
          <w:b w:val="0"/>
          <w:bCs w:val="0"/>
          <w:i w:val="0"/>
          <w:iCs w:val="0"/>
          <w:sz w:val="24"/>
          <w:szCs w:val="24"/>
        </w:rPr>
        <w:t xml:space="preserve"> 0</w:t>
      </w:r>
      <w:r>
        <w:rPr>
          <w:rFonts w:ascii="宋体" w:hAnsi="宋体" w:eastAsia="宋体" w:cs="宋体"/>
          <w:b w:val="0"/>
          <w:bCs w:val="0"/>
          <w:i w:val="0"/>
          <w:iCs w:val="0"/>
          <w:sz w:val="24"/>
          <w:szCs w:val="24"/>
        </w:rPr>
        <w:t>。</w:t>
      </w:r>
    </w:p>
    <w:p w14:paraId="5D9BA0D9">
      <w:r>
        <w:br w:type="page"/>
      </w:r>
    </w:p>
    <w:p w14:paraId="4BF81CE3">
      <w:pPr>
        <w:spacing w:before="480" w:after="200" w:line="360" w:lineRule="auto"/>
      </w:pPr>
      <w:r>
        <w:rPr>
          <w:rFonts w:ascii="宋体" w:hAnsi="宋体" w:eastAsia="宋体" w:cs="宋体"/>
          <w:b/>
          <w:bCs/>
          <w:sz w:val="28"/>
          <w:szCs w:val="28"/>
        </w:rPr>
        <w:t>三、模型设计与实现</w:t>
      </w:r>
    </w:p>
    <w:p w14:paraId="1C730095">
      <w:pPr>
        <w:spacing w:before="0" w:after="60" w:line="360" w:lineRule="auto"/>
        <w:ind w:firstLine="480"/>
        <w:jc w:val="both"/>
      </w:pPr>
      <w:r>
        <w:rPr>
          <w:rFonts w:ascii="宋体" w:hAnsi="宋体" w:eastAsia="宋体" w:cs="宋体"/>
          <w:b w:val="0"/>
          <w:bCs w:val="0"/>
          <w:i w:val="0"/>
          <w:iCs w:val="0"/>
          <w:sz w:val="24"/>
          <w:szCs w:val="24"/>
        </w:rPr>
        <w:t>整体系统架构如图</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所示，从数据输入到推荐结果呈现分为三层：数据层负责读取与预处理原始数据；模型层以</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序列编码器为核心，在输入端融合商品属性</w:t>
      </w:r>
      <w:r>
        <w:rPr>
          <w:rFonts w:ascii="Times New Roman" w:hAnsi="Times New Roman" w:eastAsia="Times New Roman" w:cs="Times New Roman"/>
          <w:b w:val="0"/>
          <w:bCs w:val="0"/>
          <w:i w:val="0"/>
          <w:iCs w:val="0"/>
          <w:sz w:val="24"/>
          <w:szCs w:val="24"/>
        </w:rPr>
        <w:t xml:space="preserve"> Embedding</w:t>
      </w:r>
      <w:r>
        <w:rPr>
          <w:rFonts w:ascii="宋体" w:hAnsi="宋体" w:eastAsia="宋体" w:cs="宋体"/>
          <w:b w:val="0"/>
          <w:bCs w:val="0"/>
          <w:i w:val="0"/>
          <w:iCs w:val="0"/>
          <w:sz w:val="24"/>
          <w:szCs w:val="24"/>
        </w:rPr>
        <w:t>，输出端使用全量</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打分；展示层根据推荐结果自动生成推荐理由并渲染为</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页面。</w:t>
      </w:r>
    </w:p>
    <w:p w14:paraId="5DA9C573">
      <w:pPr>
        <w:spacing w:before="120" w:after="60"/>
        <w:jc w:val="center"/>
      </w:pPr>
      <w:r>
        <w:drawing>
          <wp:inline distT="0" distB="0" distL="0" distR="0">
            <wp:extent cx="2667000" cy="5524500"/>
            <wp:effectExtent l="0" t="0" r="0" b="0"/>
            <wp:docPr id="1" name="arch" descr="arch" title="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ch" descr="arch" title="arch"/>
                    <pic:cNvPicPr>
                      <a:picLocks noChangeAspect="1" noChangeArrowheads="1"/>
                    </pic:cNvPicPr>
                  </pic:nvPicPr>
                  <pic:blipFill>
                    <a:blip r:embed="rId5"/>
                    <a:srcRect/>
                    <a:stretch>
                      <a:fillRect/>
                    </a:stretch>
                  </pic:blipFill>
                  <pic:spPr>
                    <a:xfrm>
                      <a:off x="0" y="0"/>
                      <a:ext cx="2667000" cy="5524500"/>
                    </a:xfrm>
                    <a:prstGeom prst="rect">
                      <a:avLst/>
                    </a:prstGeom>
                  </pic:spPr>
                </pic:pic>
              </a:graphicData>
            </a:graphic>
          </wp:inline>
        </w:drawing>
      </w:r>
    </w:p>
    <w:p w14:paraId="044F6689">
      <w:pPr>
        <w:spacing w:before="0" w:after="200"/>
        <w:jc w:val="center"/>
      </w:pPr>
      <w:r>
        <w:rPr>
          <w:rFonts w:ascii="宋体" w:hAnsi="宋体" w:eastAsia="宋体" w:cs="宋体"/>
          <w:sz w:val="21"/>
          <w:szCs w:val="21"/>
        </w:rPr>
        <w:t>图1  系统整体架构</w:t>
      </w:r>
    </w:p>
    <w:p w14:paraId="512E37CF">
      <w:pPr>
        <w:spacing w:before="300" w:after="100" w:line="360" w:lineRule="auto"/>
      </w:pPr>
      <w:r>
        <w:rPr>
          <w:rFonts w:ascii="宋体" w:hAnsi="宋体" w:eastAsia="宋体" w:cs="宋体"/>
          <w:b/>
          <w:bCs/>
          <w:sz w:val="24"/>
          <w:szCs w:val="24"/>
        </w:rPr>
        <w:t>3.1  属性输入端注入与序列编码</w:t>
      </w:r>
    </w:p>
    <w:p w14:paraId="7A6B3F46">
      <w:pPr>
        <w:spacing w:before="0" w:after="60" w:line="360" w:lineRule="auto"/>
        <w:ind w:firstLine="480"/>
        <w:jc w:val="both"/>
      </w:pPr>
      <w:r>
        <w:rPr>
          <w:rFonts w:ascii="宋体" w:hAnsi="宋体" w:eastAsia="宋体" w:cs="宋体"/>
          <w:b w:val="0"/>
          <w:bCs w:val="0"/>
          <w:i w:val="0"/>
          <w:iCs w:val="0"/>
          <w:sz w:val="24"/>
          <w:szCs w:val="24"/>
        </w:rPr>
        <w:t>模型采用属性输入端注入的设计：序列中每个位置的商品首先通过</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获得行为</w:t>
      </w:r>
      <w:r>
        <w:rPr>
          <w:rFonts w:ascii="Times New Roman" w:hAnsi="Times New Roman" w:eastAsia="Times New Roman" w:cs="Times New Roman"/>
          <w:b w:val="0"/>
          <w:bCs w:val="0"/>
          <w:i w:val="0"/>
          <w:iCs w:val="0"/>
          <w:sz w:val="24"/>
          <w:szCs w:val="24"/>
        </w:rPr>
        <w:t xml:space="preserve"> ID </w:t>
      </w:r>
      <w:r>
        <w:rPr>
          <w:rFonts w:ascii="宋体" w:hAnsi="宋体" w:eastAsia="宋体" w:cs="宋体"/>
          <w:b w:val="0"/>
          <w:bCs w:val="0"/>
          <w:i w:val="0"/>
          <w:iCs w:val="0"/>
          <w:sz w:val="24"/>
          <w:szCs w:val="24"/>
        </w:rPr>
        <w:t>向量，同时将该位置商品的</w:t>
      </w:r>
      <w:r>
        <w:rPr>
          <w:rFonts w:ascii="Times New Roman" w:hAnsi="Times New Roman" w:eastAsia="Times New Roman" w:cs="Times New Roman"/>
          <w:b w:val="0"/>
          <w:bCs w:val="0"/>
          <w:i w:val="0"/>
          <w:iCs w:val="0"/>
          <w:sz w:val="24"/>
          <w:szCs w:val="24"/>
        </w:rPr>
        <w:t xml:space="preserve"> 5 </w:t>
      </w:r>
      <w:r>
        <w:rPr>
          <w:rFonts w:ascii="宋体" w:hAnsi="宋体" w:eastAsia="宋体" w:cs="宋体"/>
          <w:b w:val="0"/>
          <w:bCs w:val="0"/>
          <w:i w:val="0"/>
          <w:iCs w:val="0"/>
          <w:sz w:val="24"/>
          <w:szCs w:val="24"/>
        </w:rPr>
        <w:t>个离散属性（品类、品牌、</w:t>
      </w:r>
      <w:r>
        <w:rPr>
          <w:rFonts w:ascii="Times New Roman" w:hAnsi="Times New Roman" w:eastAsia="Times New Roman" w:cs="Times New Roman"/>
          <w:b w:val="0"/>
          <w:bCs w:val="0"/>
          <w:i w:val="0"/>
          <w:iCs w:val="0"/>
          <w:sz w:val="24"/>
          <w:szCs w:val="24"/>
        </w:rPr>
        <w:t>a1</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a2</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a3</w:t>
      </w:r>
      <w:r>
        <w:rPr>
          <w:rFonts w:ascii="宋体" w:hAnsi="宋体" w:eastAsia="宋体" w:cs="宋体"/>
          <w:b w:val="0"/>
          <w:bCs w:val="0"/>
          <w:i w:val="0"/>
          <w:iCs w:val="0"/>
          <w:sz w:val="24"/>
          <w:szCs w:val="24"/>
        </w:rPr>
        <w:t>）分别通过独立</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层映射为</w:t>
      </w:r>
      <w:r>
        <w:rPr>
          <w:rFonts w:ascii="Times New Roman" w:hAnsi="Times New Roman" w:eastAsia="Times New Roman" w:cs="Times New Roman"/>
          <w:b w:val="0"/>
          <w:bCs w:val="0"/>
          <w:i w:val="0"/>
          <w:iCs w:val="0"/>
          <w:sz w:val="24"/>
          <w:szCs w:val="24"/>
        </w:rPr>
        <w:t xml:space="preserve"> 16 </w:t>
      </w:r>
      <w:r>
        <w:rPr>
          <w:rFonts w:ascii="宋体" w:hAnsi="宋体" w:eastAsia="宋体" w:cs="宋体"/>
          <w:b w:val="0"/>
          <w:bCs w:val="0"/>
          <w:i w:val="0"/>
          <w:iCs w:val="0"/>
          <w:sz w:val="24"/>
          <w:szCs w:val="24"/>
        </w:rPr>
        <w:t>维向量，与归一化评论数拼接后经两层</w:t>
      </w:r>
      <w:r>
        <w:rPr>
          <w:rFonts w:ascii="Times New Roman" w:hAnsi="Times New Roman" w:eastAsia="Times New Roman" w:cs="Times New Roman"/>
          <w:b w:val="0"/>
          <w:bCs w:val="0"/>
          <w:i w:val="0"/>
          <w:iCs w:val="0"/>
          <w:sz w:val="24"/>
          <w:szCs w:val="24"/>
        </w:rPr>
        <w:t xml:space="preserve"> MLP</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Linear → ReLU → Linear → LayerNorm</w:t>
      </w:r>
      <w:r>
        <w:rPr>
          <w:rFonts w:ascii="宋体" w:hAnsi="宋体" w:eastAsia="宋体" w:cs="宋体"/>
          <w:b w:val="0"/>
          <w:bCs w:val="0"/>
          <w:i w:val="0"/>
          <w:iCs w:val="0"/>
          <w:sz w:val="24"/>
          <w:szCs w:val="24"/>
        </w:rPr>
        <w:t>）投影至</w:t>
      </w:r>
      <w:r>
        <w:rPr>
          <w:rFonts w:ascii="Times New Roman" w:hAnsi="Times New Roman" w:eastAsia="Times New Roman" w:cs="Times New Roman"/>
          <w:b w:val="0"/>
          <w:bCs w:val="0"/>
          <w:i w:val="0"/>
          <w:iCs w:val="0"/>
          <w:sz w:val="24"/>
          <w:szCs w:val="24"/>
        </w:rPr>
        <w:t xml:space="preserve"> 128 </w:t>
      </w:r>
      <w:r>
        <w:rPr>
          <w:rFonts w:ascii="宋体" w:hAnsi="宋体" w:eastAsia="宋体" w:cs="宋体"/>
          <w:b w:val="0"/>
          <w:bCs w:val="0"/>
          <w:i w:val="0"/>
          <w:iCs w:val="0"/>
          <w:sz w:val="24"/>
          <w:szCs w:val="24"/>
        </w:rPr>
        <w:t>维，得到属性向量。属性向量与</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相加后送入</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因果自注意力编码器。</w:t>
      </w:r>
    </w:p>
    <w:p w14:paraId="5303F1B8">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 </w:t>
      </w:r>
      <w:r>
        <w:rPr>
          <w:rFonts w:ascii="宋体" w:hAnsi="宋体" w:eastAsia="宋体" w:cs="宋体"/>
          <w:b w:val="0"/>
          <w:bCs w:val="0"/>
          <w:i w:val="0"/>
          <w:iCs w:val="0"/>
          <w:sz w:val="24"/>
          <w:szCs w:val="24"/>
        </w:rPr>
        <w:t>编码器堆叠</w:t>
      </w:r>
      <w:r>
        <w:rPr>
          <w:rFonts w:ascii="Times New Roman" w:hAnsi="Times New Roman" w:eastAsia="Times New Roman" w:cs="Times New Roman"/>
          <w:b w:val="0"/>
          <w:bCs w:val="0"/>
          <w:i w:val="0"/>
          <w:iCs w:val="0"/>
          <w:sz w:val="24"/>
          <w:szCs w:val="24"/>
        </w:rPr>
        <w:t xml:space="preserve"> 2 </w:t>
      </w:r>
      <w:r>
        <w:rPr>
          <w:rFonts w:ascii="宋体" w:hAnsi="宋体" w:eastAsia="宋体" w:cs="宋体"/>
          <w:b w:val="0"/>
          <w:bCs w:val="0"/>
          <w:i w:val="0"/>
          <w:iCs w:val="0"/>
          <w:sz w:val="24"/>
          <w:szCs w:val="24"/>
        </w:rPr>
        <w:t>层因果自注意力层，隐层维度为</w:t>
      </w:r>
      <w:r>
        <w:rPr>
          <w:rFonts w:ascii="Times New Roman" w:hAnsi="Times New Roman" w:eastAsia="Times New Roman" w:cs="Times New Roman"/>
          <w:b w:val="0"/>
          <w:bCs w:val="0"/>
          <w:i w:val="0"/>
          <w:iCs w:val="0"/>
          <w:sz w:val="24"/>
          <w:szCs w:val="24"/>
        </w:rPr>
        <w:t xml:space="preserve"> 128</w:t>
      </w:r>
      <w:r>
        <w:rPr>
          <w:rFonts w:ascii="宋体" w:hAnsi="宋体" w:eastAsia="宋体" w:cs="宋体"/>
          <w:b w:val="0"/>
          <w:bCs w:val="0"/>
          <w:i w:val="0"/>
          <w:iCs w:val="0"/>
          <w:sz w:val="24"/>
          <w:szCs w:val="24"/>
        </w:rPr>
        <w:t>。因果掩码保证每个位置只能关注自身及之前的时间步，避免信息泄露。取序列最后一个有效位置的输出向量作为用户表征。这一设计使属性信息在序列编码阶段即参与注意力计算，而非仅在打分端使用。</w:t>
      </w:r>
    </w:p>
    <w:p w14:paraId="61D3142D">
      <w:pPr>
        <w:spacing w:before="300" w:after="100" w:line="360" w:lineRule="auto"/>
      </w:pPr>
      <w:r>
        <w:rPr>
          <w:rFonts w:ascii="宋体" w:hAnsi="宋体" w:eastAsia="宋体" w:cs="宋体"/>
          <w:b/>
          <w:bCs/>
          <w:sz w:val="24"/>
          <w:szCs w:val="24"/>
        </w:rPr>
        <w:t>3.2  全量 Softmax 打分</w:t>
      </w:r>
    </w:p>
    <w:p w14:paraId="235A3839">
      <w:pPr>
        <w:spacing w:before="0" w:after="60" w:line="360" w:lineRule="auto"/>
        <w:ind w:firstLine="480"/>
        <w:jc w:val="both"/>
      </w:pPr>
      <w:r>
        <w:rPr>
          <w:rFonts w:ascii="宋体" w:hAnsi="宋体" w:eastAsia="宋体" w:cs="宋体"/>
          <w:b w:val="0"/>
          <w:bCs w:val="0"/>
          <w:i w:val="0"/>
          <w:iCs w:val="0"/>
          <w:sz w:val="24"/>
          <w:szCs w:val="24"/>
        </w:rPr>
        <w:t>用户表征经线性层</w:t>
      </w:r>
      <w:r>
        <w:rPr>
          <w:rFonts w:ascii="Times New Roman" w:hAnsi="Times New Roman" w:eastAsia="Times New Roman" w:cs="Times New Roman"/>
          <w:b w:val="0"/>
          <w:bCs w:val="0"/>
          <w:i w:val="0"/>
          <w:iCs w:val="0"/>
          <w:sz w:val="24"/>
          <w:szCs w:val="24"/>
        </w:rPr>
        <w:t xml:space="preserve"> nn.Linear(128, 23739) </w:t>
      </w:r>
      <w:r>
        <w:rPr>
          <w:rFonts w:ascii="宋体" w:hAnsi="宋体" w:eastAsia="宋体" w:cs="宋体"/>
          <w:b w:val="0"/>
          <w:bCs w:val="0"/>
          <w:i w:val="0"/>
          <w:iCs w:val="0"/>
          <w:sz w:val="24"/>
          <w:szCs w:val="24"/>
        </w:rPr>
        <w:t>直接映射到全量商品空间，输出维度等于商品数加</w:t>
      </w:r>
      <w:r>
        <w:rPr>
          <w:rFonts w:ascii="Times New Roman" w:hAnsi="Times New Roman" w:eastAsia="Times New Roman" w:cs="Times New Roman"/>
          <w:b w:val="0"/>
          <w:bCs w:val="0"/>
          <w:i w:val="0"/>
          <w:iCs w:val="0"/>
          <w:sz w:val="24"/>
          <w:szCs w:val="24"/>
        </w:rPr>
        <w:t xml:space="preserve"> 1</w:t>
      </w:r>
      <w:r>
        <w:rPr>
          <w:rFonts w:ascii="宋体" w:hAnsi="宋体" w:eastAsia="宋体" w:cs="宋体"/>
          <w:b w:val="0"/>
          <w:bCs w:val="0"/>
          <w:i w:val="0"/>
          <w:iCs w:val="0"/>
          <w:sz w:val="24"/>
          <w:szCs w:val="24"/>
        </w:rPr>
        <w:t>（包含填充位）。该设计与</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的打分策略一致，保证训练信号覆盖全部商品，使模型能区分同类商品的细粒度排序差异。</w:t>
      </w:r>
    </w:p>
    <w:p w14:paraId="47EDD734">
      <w:pPr>
        <w:spacing w:before="300" w:after="100" w:line="360" w:lineRule="auto"/>
      </w:pPr>
      <w:r>
        <w:rPr>
          <w:rFonts w:ascii="宋体" w:hAnsi="宋体" w:eastAsia="宋体" w:cs="宋体"/>
          <w:b/>
          <w:bCs/>
          <w:sz w:val="24"/>
          <w:szCs w:val="24"/>
        </w:rPr>
        <w:t>3.3  训练目标</w:t>
      </w:r>
    </w:p>
    <w:p w14:paraId="7E3A3115">
      <w:pPr>
        <w:spacing w:before="0" w:after="60" w:line="360" w:lineRule="auto"/>
        <w:ind w:firstLine="480"/>
        <w:jc w:val="both"/>
      </w:pPr>
      <w:r>
        <w:rPr>
          <w:rFonts w:ascii="宋体" w:hAnsi="宋体" w:eastAsia="宋体" w:cs="宋体"/>
          <w:b w:val="0"/>
          <w:bCs w:val="0"/>
          <w:i w:val="0"/>
          <w:iCs w:val="0"/>
          <w:sz w:val="24"/>
          <w:szCs w:val="24"/>
        </w:rPr>
        <w:t>模型采用交叉熵损失（</w:t>
      </w:r>
      <w:r>
        <w:rPr>
          <w:rFonts w:ascii="Times New Roman" w:hAnsi="Times New Roman" w:eastAsia="Times New Roman" w:cs="Times New Roman"/>
          <w:b w:val="0"/>
          <w:bCs w:val="0"/>
          <w:i w:val="0"/>
          <w:iCs w:val="0"/>
          <w:sz w:val="24"/>
          <w:szCs w:val="24"/>
        </w:rPr>
        <w:t>CrossEntropyLoss</w:t>
      </w:r>
      <w:r>
        <w:rPr>
          <w:rFonts w:ascii="宋体" w:hAnsi="宋体" w:eastAsia="宋体" w:cs="宋体"/>
          <w:b w:val="0"/>
          <w:bCs w:val="0"/>
          <w:i w:val="0"/>
          <w:iCs w:val="0"/>
          <w:sz w:val="24"/>
          <w:szCs w:val="24"/>
        </w:rPr>
        <w:t>）进行训练，对全量</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件商品计算</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归一化概率，直接优化下一购买商品的排名。目标函数为：</w:t>
      </w:r>
    </w:p>
    <w:p w14:paraId="5A21A783">
      <w:pPr>
        <w:spacing w:before="120" w:after="120"/>
        <w:jc w:val="center"/>
      </w:pPr>
      <w:r>
        <w:rPr>
          <w:rFonts w:ascii="Times New Roman" w:hAnsi="Times New Roman" w:eastAsia="Times New Roman" w:cs="Times New Roman"/>
          <w:i/>
          <w:iCs/>
          <w:sz w:val="24"/>
          <w:szCs w:val="24"/>
        </w:rPr>
        <w:t>L_CE  =  −∑ log( exp(z_y) / ∑_j exp(z_j) )</w:t>
      </w:r>
    </w:p>
    <w:p w14:paraId="342D9F6B">
      <w:pPr>
        <w:spacing w:before="0" w:after="60" w:line="360" w:lineRule="auto"/>
        <w:ind w:firstLine="480"/>
        <w:jc w:val="both"/>
      </w:pPr>
      <w:r>
        <w:rPr>
          <w:rFonts w:ascii="宋体" w:hAnsi="宋体" w:eastAsia="宋体" w:cs="宋体"/>
          <w:b w:val="0"/>
          <w:bCs w:val="0"/>
          <w:i w:val="0"/>
          <w:iCs w:val="0"/>
          <w:sz w:val="24"/>
          <w:szCs w:val="24"/>
        </w:rPr>
        <w:t>其中</w:t>
      </w:r>
      <w:r>
        <w:rPr>
          <w:rFonts w:ascii="Times New Roman" w:hAnsi="Times New Roman" w:eastAsia="Times New Roman" w:cs="Times New Roman"/>
          <w:b w:val="0"/>
          <w:bCs w:val="0"/>
          <w:i w:val="0"/>
          <w:iCs w:val="0"/>
          <w:sz w:val="24"/>
          <w:szCs w:val="24"/>
        </w:rPr>
        <w:t xml:space="preserve"> z_y </w:t>
      </w:r>
      <w:r>
        <w:rPr>
          <w:rFonts w:ascii="宋体" w:hAnsi="宋体" w:eastAsia="宋体" w:cs="宋体"/>
          <w:b w:val="0"/>
          <w:bCs w:val="0"/>
          <w:i w:val="0"/>
          <w:iCs w:val="0"/>
          <w:sz w:val="24"/>
          <w:szCs w:val="24"/>
        </w:rPr>
        <w:t>为正样本商品的得分，</w:t>
      </w:r>
      <w:r>
        <w:rPr>
          <w:rFonts w:ascii="Times New Roman" w:hAnsi="Times New Roman" w:eastAsia="Times New Roman" w:cs="Times New Roman"/>
          <w:b w:val="0"/>
          <w:bCs w:val="0"/>
          <w:i w:val="0"/>
          <w:iCs w:val="0"/>
          <w:sz w:val="24"/>
          <w:szCs w:val="24"/>
        </w:rPr>
        <w:t xml:space="preserve">z_j </w:t>
      </w:r>
      <w:r>
        <w:rPr>
          <w:rFonts w:ascii="宋体" w:hAnsi="宋体" w:eastAsia="宋体" w:cs="宋体"/>
          <w:b w:val="0"/>
          <w:bCs w:val="0"/>
          <w:i w:val="0"/>
          <w:iCs w:val="0"/>
          <w:sz w:val="24"/>
          <w:szCs w:val="24"/>
        </w:rPr>
        <w:t>遍历全部商品。训练时对每条序列滑动窗口采样，使用</w:t>
      </w:r>
      <w:r>
        <w:rPr>
          <w:rFonts w:ascii="Times New Roman" w:hAnsi="Times New Roman" w:eastAsia="Times New Roman" w:cs="Times New Roman"/>
          <w:b w:val="0"/>
          <w:bCs w:val="0"/>
          <w:i w:val="0"/>
          <w:iCs w:val="0"/>
          <w:sz w:val="24"/>
          <w:szCs w:val="24"/>
        </w:rPr>
        <w:t xml:space="preserve"> Adam </w:t>
      </w:r>
      <w:r>
        <w:rPr>
          <w:rFonts w:ascii="宋体" w:hAnsi="宋体" w:eastAsia="宋体" w:cs="宋体"/>
          <w:b w:val="0"/>
          <w:bCs w:val="0"/>
          <w:i w:val="0"/>
          <w:iCs w:val="0"/>
          <w:sz w:val="24"/>
          <w:szCs w:val="24"/>
        </w:rPr>
        <w:t>优化器，学习率为</w:t>
      </w:r>
      <w:r>
        <w:rPr>
          <w:rFonts w:ascii="Times New Roman" w:hAnsi="Times New Roman" w:eastAsia="Times New Roman" w:cs="Times New Roman"/>
          <w:b w:val="0"/>
          <w:bCs w:val="0"/>
          <w:i w:val="0"/>
          <w:iCs w:val="0"/>
          <w:sz w:val="24"/>
          <w:szCs w:val="24"/>
        </w:rPr>
        <w:t xml:space="preserve"> 0.001</w:t>
      </w:r>
      <w:r>
        <w:rPr>
          <w:rFonts w:ascii="宋体" w:hAnsi="宋体" w:eastAsia="宋体" w:cs="宋体"/>
          <w:b w:val="0"/>
          <w:bCs w:val="0"/>
          <w:i w:val="0"/>
          <w:iCs w:val="0"/>
          <w:sz w:val="24"/>
          <w:szCs w:val="24"/>
        </w:rPr>
        <w:t>，批大小为</w:t>
      </w:r>
      <w:r>
        <w:rPr>
          <w:rFonts w:ascii="Times New Roman" w:hAnsi="Times New Roman" w:eastAsia="Times New Roman" w:cs="Times New Roman"/>
          <w:b w:val="0"/>
          <w:bCs w:val="0"/>
          <w:i w:val="0"/>
          <w:iCs w:val="0"/>
          <w:sz w:val="24"/>
          <w:szCs w:val="24"/>
        </w:rPr>
        <w:t xml:space="preserve"> 256</w:t>
      </w:r>
      <w:r>
        <w:rPr>
          <w:rFonts w:ascii="宋体" w:hAnsi="宋体" w:eastAsia="宋体" w:cs="宋体"/>
          <w:b w:val="0"/>
          <w:bCs w:val="0"/>
          <w:i w:val="0"/>
          <w:iCs w:val="0"/>
          <w:sz w:val="24"/>
          <w:szCs w:val="24"/>
        </w:rPr>
        <w:t>，训练</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w:t>
      </w:r>
    </w:p>
    <w:p w14:paraId="77B7836C">
      <w:pPr>
        <w:spacing w:before="300" w:after="100" w:line="360" w:lineRule="auto"/>
      </w:pPr>
      <w:r>
        <w:rPr>
          <w:rFonts w:ascii="宋体" w:hAnsi="宋体" w:eastAsia="宋体" w:cs="宋体"/>
          <w:b/>
          <w:bCs/>
          <w:sz w:val="24"/>
          <w:szCs w:val="24"/>
        </w:rPr>
        <w:t>3.4  模型创新点</w:t>
      </w:r>
    </w:p>
    <w:p w14:paraId="11DA99A0">
      <w:pPr>
        <w:spacing w:before="0" w:after="60" w:line="360" w:lineRule="auto"/>
        <w:ind w:firstLine="480"/>
        <w:jc w:val="both"/>
      </w:pPr>
      <w:r>
        <w:rPr>
          <w:rFonts w:ascii="宋体" w:hAnsi="宋体" w:eastAsia="宋体" w:cs="宋体"/>
          <w:b w:val="0"/>
          <w:bCs w:val="0"/>
          <w:i w:val="0"/>
          <w:iCs w:val="0"/>
          <w:sz w:val="24"/>
          <w:szCs w:val="24"/>
        </w:rPr>
        <w:t>相较于原始</w:t>
      </w:r>
      <w:r>
        <w:rPr>
          <w:rFonts w:ascii="Times New Roman" w:hAnsi="Times New Roman" w:eastAsia="Times New Roman" w:cs="Times New Roman"/>
          <w:b w:val="0"/>
          <w:bCs w:val="0"/>
          <w:i w:val="0"/>
          <w:iCs w:val="0"/>
          <w:sz w:val="24"/>
          <w:szCs w:val="24"/>
        </w:rPr>
        <w:t xml:space="preserve"> SASRec</w:t>
      </w:r>
      <w:r>
        <w:rPr>
          <w:rFonts w:ascii="宋体" w:hAnsi="宋体" w:eastAsia="宋体" w:cs="宋体"/>
          <w:b w:val="0"/>
          <w:bCs w:val="0"/>
          <w:i w:val="0"/>
          <w:iCs w:val="0"/>
          <w:sz w:val="24"/>
          <w:szCs w:val="24"/>
        </w:rPr>
        <w:t>，本模型在以下两个方面进行了针对性改进：</w:t>
      </w:r>
    </w:p>
    <w:p w14:paraId="5A34C2AF">
      <w:pPr>
        <w:spacing w:before="0" w:after="60" w:line="360" w:lineRule="auto"/>
        <w:ind w:firstLine="480"/>
        <w:jc w:val="both"/>
      </w:pPr>
      <w:r>
        <w:rPr>
          <w:rFonts w:ascii="宋体" w:hAnsi="宋体" w:eastAsia="宋体" w:cs="宋体"/>
          <w:b w:val="0"/>
          <w:bCs w:val="0"/>
          <w:i w:val="0"/>
          <w:iCs w:val="0"/>
          <w:sz w:val="24"/>
          <w:szCs w:val="24"/>
        </w:rPr>
        <w:t>创新点一：商品多源属性输入端注入。原始</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仅依赖商品</w:t>
      </w:r>
      <w:r>
        <w:rPr>
          <w:rFonts w:ascii="Times New Roman" w:hAnsi="Times New Roman" w:eastAsia="Times New Roman" w:cs="Times New Roman"/>
          <w:b w:val="0"/>
          <w:bCs w:val="0"/>
          <w:i w:val="0"/>
          <w:iCs w:val="0"/>
          <w:sz w:val="24"/>
          <w:szCs w:val="24"/>
        </w:rPr>
        <w:t xml:space="preserve"> ID Embedding </w:t>
      </w:r>
      <w:r>
        <w:rPr>
          <w:rFonts w:ascii="宋体" w:hAnsi="宋体" w:eastAsia="宋体" w:cs="宋体"/>
          <w:b w:val="0"/>
          <w:bCs w:val="0"/>
          <w:i w:val="0"/>
          <w:iCs w:val="0"/>
          <w:sz w:val="24"/>
          <w:szCs w:val="24"/>
        </w:rPr>
        <w:t>建模用户行为序列，无法利用商品内容信息。本模型将品类、品牌、</w:t>
      </w:r>
      <w:r>
        <w:rPr>
          <w:rFonts w:ascii="Times New Roman" w:hAnsi="Times New Roman" w:eastAsia="Times New Roman" w:cs="Times New Roman"/>
          <w:b w:val="0"/>
          <w:bCs w:val="0"/>
          <w:i w:val="0"/>
          <w:iCs w:val="0"/>
          <w:sz w:val="24"/>
          <w:szCs w:val="24"/>
        </w:rPr>
        <w:t xml:space="preserve">a1-a3 </w:t>
      </w:r>
      <w:r>
        <w:rPr>
          <w:rFonts w:ascii="宋体" w:hAnsi="宋体" w:eastAsia="宋体" w:cs="宋体"/>
          <w:b w:val="0"/>
          <w:bCs w:val="0"/>
          <w:i w:val="0"/>
          <w:iCs w:val="0"/>
          <w:sz w:val="24"/>
          <w:szCs w:val="24"/>
        </w:rPr>
        <w:t>五个离散属性各自通过独立</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层编码（各</w:t>
      </w:r>
      <w:r>
        <w:rPr>
          <w:rFonts w:ascii="Times New Roman" w:hAnsi="Times New Roman" w:eastAsia="Times New Roman" w:cs="Times New Roman"/>
          <w:b w:val="0"/>
          <w:bCs w:val="0"/>
          <w:i w:val="0"/>
          <w:iCs w:val="0"/>
          <w:sz w:val="24"/>
          <w:szCs w:val="24"/>
        </w:rPr>
        <w:t xml:space="preserve"> 16 </w:t>
      </w:r>
      <w:r>
        <w:rPr>
          <w:rFonts w:ascii="宋体" w:hAnsi="宋体" w:eastAsia="宋体" w:cs="宋体"/>
          <w:b w:val="0"/>
          <w:bCs w:val="0"/>
          <w:i w:val="0"/>
          <w:iCs w:val="0"/>
          <w:sz w:val="24"/>
          <w:szCs w:val="24"/>
        </w:rPr>
        <w:t>维），与归一化评论数一起经两层</w:t>
      </w:r>
      <w:r>
        <w:rPr>
          <w:rFonts w:ascii="Times New Roman" w:hAnsi="Times New Roman" w:eastAsia="Times New Roman" w:cs="Times New Roman"/>
          <w:b w:val="0"/>
          <w:bCs w:val="0"/>
          <w:i w:val="0"/>
          <w:iCs w:val="0"/>
          <w:sz w:val="24"/>
          <w:szCs w:val="24"/>
        </w:rPr>
        <w:t xml:space="preserve"> MLP</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Linear→ReLU→Linear→LayerNorm</w:t>
      </w:r>
      <w:r>
        <w:rPr>
          <w:rFonts w:ascii="宋体" w:hAnsi="宋体" w:eastAsia="宋体" w:cs="宋体"/>
          <w:b w:val="0"/>
          <w:bCs w:val="0"/>
          <w:i w:val="0"/>
          <w:iCs w:val="0"/>
          <w:sz w:val="24"/>
          <w:szCs w:val="24"/>
        </w:rPr>
        <w:t>）投影至</w:t>
      </w:r>
      <w:r>
        <w:rPr>
          <w:rFonts w:ascii="Times New Roman" w:hAnsi="Times New Roman" w:eastAsia="Times New Roman" w:cs="Times New Roman"/>
          <w:b w:val="0"/>
          <w:bCs w:val="0"/>
          <w:i w:val="0"/>
          <w:iCs w:val="0"/>
          <w:sz w:val="24"/>
          <w:szCs w:val="24"/>
        </w:rPr>
        <w:t xml:space="preserve"> 128 </w:t>
      </w:r>
      <w:r>
        <w:rPr>
          <w:rFonts w:ascii="宋体" w:hAnsi="宋体" w:eastAsia="宋体" w:cs="宋体"/>
          <w:b w:val="0"/>
          <w:bCs w:val="0"/>
          <w:i w:val="0"/>
          <w:iCs w:val="0"/>
          <w:sz w:val="24"/>
          <w:szCs w:val="24"/>
        </w:rPr>
        <w:t>维，在序列输入端直接叠加到</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上。这一设计使自注意力机制在计算每个位置的注意力权重时，已同时感知商品</w:t>
      </w:r>
      <w:r>
        <w:rPr>
          <w:rFonts w:ascii="Times New Roman" w:hAnsi="Times New Roman" w:eastAsia="Times New Roman" w:cs="Times New Roman"/>
          <w:b w:val="0"/>
          <w:bCs w:val="0"/>
          <w:i w:val="0"/>
          <w:iCs w:val="0"/>
          <w:sz w:val="24"/>
          <w:szCs w:val="24"/>
        </w:rPr>
        <w:t xml:space="preserve"> ID </w:t>
      </w:r>
      <w:r>
        <w:rPr>
          <w:rFonts w:ascii="宋体" w:hAnsi="宋体" w:eastAsia="宋体" w:cs="宋体"/>
          <w:b w:val="0"/>
          <w:bCs w:val="0"/>
          <w:i w:val="0"/>
          <w:iCs w:val="0"/>
          <w:sz w:val="24"/>
          <w:szCs w:val="24"/>
        </w:rPr>
        <w:t>的协同过滤信号和商品内容的语义信号，能更充分地区分同品类不同品牌或同品牌不同型号的商品，提升推荐列表的排序质量。</w:t>
      </w:r>
    </w:p>
    <w:p w14:paraId="19FCA993">
      <w:pPr>
        <w:spacing w:before="0" w:after="60" w:line="360" w:lineRule="auto"/>
        <w:ind w:firstLine="480"/>
        <w:jc w:val="both"/>
      </w:pPr>
      <w:r>
        <w:rPr>
          <w:rFonts w:ascii="宋体" w:hAnsi="宋体" w:eastAsia="宋体" w:cs="宋体"/>
          <w:b w:val="0"/>
          <w:bCs w:val="0"/>
          <w:i w:val="0"/>
          <w:iCs w:val="0"/>
          <w:sz w:val="24"/>
          <w:szCs w:val="24"/>
        </w:rPr>
        <w:t>创新点二：基于注意力权重的可解释推荐接口。原始</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在推理时丢弃注意力矩阵，推荐结果为黑箱输出。本模型新增</w:t>
      </w:r>
      <w:r>
        <w:rPr>
          <w:rFonts w:ascii="Times New Roman" w:hAnsi="Times New Roman" w:eastAsia="Times New Roman" w:cs="Times New Roman"/>
          <w:b w:val="0"/>
          <w:bCs w:val="0"/>
          <w:i w:val="0"/>
          <w:iCs w:val="0"/>
          <w:sz w:val="24"/>
          <w:szCs w:val="24"/>
        </w:rPr>
        <w:t xml:space="preserve"> get_user_repr_with_attn() </w:t>
      </w:r>
      <w:r>
        <w:rPr>
          <w:rFonts w:ascii="宋体" w:hAnsi="宋体" w:eastAsia="宋体" w:cs="宋体"/>
          <w:b w:val="0"/>
          <w:bCs w:val="0"/>
          <w:i w:val="0"/>
          <w:iCs w:val="0"/>
          <w:sz w:val="24"/>
          <w:szCs w:val="24"/>
        </w:rPr>
        <w:t>方法，在推理阶段同时返回最后一层自注意力矩阵中「序列最后有效位置」的注意力权重行（形状为</w:t>
      </w:r>
      <w:r>
        <w:rPr>
          <w:rFonts w:ascii="Times New Roman" w:hAnsi="Times New Roman" w:eastAsia="Times New Roman" w:cs="Times New Roman"/>
          <w:b w:val="0"/>
          <w:bCs w:val="0"/>
          <w:i w:val="0"/>
          <w:iCs w:val="0"/>
          <w:sz w:val="24"/>
          <w:szCs w:val="24"/>
        </w:rPr>
        <w:t xml:space="preserve"> (B, L)</w:t>
      </w:r>
      <w:r>
        <w:rPr>
          <w:rFonts w:ascii="宋体" w:hAnsi="宋体" w:eastAsia="宋体" w:cs="宋体"/>
          <w:b w:val="0"/>
          <w:bCs w:val="0"/>
          <w:i w:val="0"/>
          <w:iCs w:val="0"/>
          <w:sz w:val="24"/>
          <w:szCs w:val="24"/>
        </w:rPr>
        <w:t>）。该向量的第</w:t>
      </w:r>
      <w:r>
        <w:rPr>
          <w:rFonts w:ascii="Times New Roman" w:hAnsi="Times New Roman" w:eastAsia="Times New Roman" w:cs="Times New Roman"/>
          <w:b w:val="0"/>
          <w:bCs w:val="0"/>
          <w:i w:val="0"/>
          <w:iCs w:val="0"/>
          <w:sz w:val="24"/>
          <w:szCs w:val="24"/>
        </w:rPr>
        <w:t xml:space="preserve"> i </w:t>
      </w:r>
      <w:r>
        <w:rPr>
          <w:rFonts w:ascii="宋体" w:hAnsi="宋体" w:eastAsia="宋体" w:cs="宋体"/>
          <w:b w:val="0"/>
          <w:bCs w:val="0"/>
          <w:i w:val="0"/>
          <w:iCs w:val="0"/>
          <w:sz w:val="24"/>
          <w:szCs w:val="24"/>
        </w:rPr>
        <w:t>个元素直接量化了历史第</w:t>
      </w:r>
      <w:r>
        <w:rPr>
          <w:rFonts w:ascii="Times New Roman" w:hAnsi="Times New Roman" w:eastAsia="Times New Roman" w:cs="Times New Roman"/>
          <w:b w:val="0"/>
          <w:bCs w:val="0"/>
          <w:i w:val="0"/>
          <w:iCs w:val="0"/>
          <w:sz w:val="24"/>
          <w:szCs w:val="24"/>
        </w:rPr>
        <w:t xml:space="preserve"> i </w:t>
      </w:r>
      <w:r>
        <w:rPr>
          <w:rFonts w:ascii="宋体" w:hAnsi="宋体" w:eastAsia="宋体" w:cs="宋体"/>
          <w:b w:val="0"/>
          <w:bCs w:val="0"/>
          <w:i w:val="0"/>
          <w:iCs w:val="0"/>
          <w:sz w:val="24"/>
          <w:szCs w:val="24"/>
        </w:rPr>
        <w:t>件商品对当前推荐结果的贡献程度，权重最高的历史商品即为模型的真实决策依据。系统据此生成含具体权重数值的自然语言推荐理由（如</w:t>
      </w:r>
      <w:r>
        <w:rPr>
          <w:rFonts w:ascii="Times New Roman" w:hAnsi="Times New Roman" w:eastAsia="Times New Roman" w:cs="Times New Roman"/>
          <w:b w:val="0"/>
          <w:bCs w:val="0"/>
          <w:i w:val="0"/>
          <w:iCs w:val="0"/>
          <w:sz w:val="24"/>
          <w:szCs w:val="24"/>
        </w:rPr>
        <w:t>"</w:t>
      </w:r>
      <w:r>
        <w:rPr>
          <w:rFonts w:ascii="宋体" w:hAnsi="宋体" w:eastAsia="宋体" w:cs="宋体"/>
          <w:b w:val="0"/>
          <w:bCs w:val="0"/>
          <w:i w:val="0"/>
          <w:iCs w:val="0"/>
          <w:sz w:val="24"/>
          <w:szCs w:val="24"/>
        </w:rPr>
        <w:t>模型重点关注了您的历史商品</w:t>
      </w:r>
      <w:r>
        <w:rPr>
          <w:rFonts w:ascii="Times New Roman" w:hAnsi="Times New Roman" w:eastAsia="Times New Roman" w:cs="Times New Roman"/>
          <w:b w:val="0"/>
          <w:bCs w:val="0"/>
          <w:i w:val="0"/>
          <w:iCs w:val="0"/>
          <w:sz w:val="24"/>
          <w:szCs w:val="24"/>
        </w:rPr>
        <w:t xml:space="preserve"> 12345</w:t>
      </w:r>
      <w:r>
        <w:rPr>
          <w:rFonts w:ascii="宋体" w:hAnsi="宋体" w:eastAsia="宋体" w:cs="宋体"/>
          <w:b w:val="0"/>
          <w:bCs w:val="0"/>
          <w:i w:val="0"/>
          <w:iCs w:val="0"/>
          <w:sz w:val="24"/>
          <w:szCs w:val="24"/>
        </w:rPr>
        <w:t>（注意力权重</w:t>
      </w:r>
      <w:r>
        <w:rPr>
          <w:rFonts w:ascii="Times New Roman" w:hAnsi="Times New Roman" w:eastAsia="Times New Roman" w:cs="Times New Roman"/>
          <w:b w:val="0"/>
          <w:bCs w:val="0"/>
          <w:i w:val="0"/>
          <w:iCs w:val="0"/>
          <w:sz w:val="24"/>
          <w:szCs w:val="24"/>
        </w:rPr>
        <w:t xml:space="preserve"> 0.38</w:t>
      </w:r>
      <w:r>
        <w:rPr>
          <w:rFonts w:ascii="宋体" w:hAnsi="宋体" w:eastAsia="宋体" w:cs="宋体"/>
          <w:b w:val="0"/>
          <w:bCs w:val="0"/>
          <w:i w:val="0"/>
          <w:iCs w:val="0"/>
          <w:sz w:val="24"/>
          <w:szCs w:val="24"/>
        </w:rPr>
        <w:t>），该商品与其同品牌（品牌</w:t>
      </w:r>
      <w:r>
        <w:rPr>
          <w:rFonts w:ascii="Times New Roman" w:hAnsi="Times New Roman" w:eastAsia="Times New Roman" w:cs="Times New Roman"/>
          <w:b w:val="0"/>
          <w:bCs w:val="0"/>
          <w:i w:val="0"/>
          <w:iCs w:val="0"/>
          <w:sz w:val="24"/>
          <w:szCs w:val="24"/>
        </w:rPr>
        <w:t xml:space="preserve"> 214</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w:t>
      </w:r>
      <w:r>
        <w:rPr>
          <w:rFonts w:ascii="宋体" w:hAnsi="宋体" w:eastAsia="宋体" w:cs="宋体"/>
          <w:b w:val="0"/>
          <w:bCs w:val="0"/>
          <w:i w:val="0"/>
          <w:iCs w:val="0"/>
          <w:sz w:val="24"/>
          <w:szCs w:val="24"/>
        </w:rPr>
        <w:t>），实现了来自模型内部的可量化可解释推荐。</w:t>
      </w:r>
    </w:p>
    <w:p w14:paraId="69E28DF6">
      <w:r>
        <w:br w:type="page"/>
      </w:r>
    </w:p>
    <w:p w14:paraId="6A418211">
      <w:pPr>
        <w:spacing w:before="480" w:after="200" w:line="360" w:lineRule="auto"/>
      </w:pPr>
      <w:r>
        <w:rPr>
          <w:rFonts w:ascii="宋体" w:hAnsi="宋体" w:eastAsia="宋体" w:cs="宋体"/>
          <w:b/>
          <w:bCs/>
          <w:sz w:val="28"/>
          <w:szCs w:val="28"/>
        </w:rPr>
        <w:t>四、实验结果与分析</w:t>
      </w:r>
    </w:p>
    <w:p w14:paraId="223C4738">
      <w:pPr>
        <w:spacing w:before="300" w:after="100" w:line="360" w:lineRule="auto"/>
      </w:pPr>
      <w:r>
        <w:rPr>
          <w:rFonts w:ascii="宋体" w:hAnsi="宋体" w:eastAsia="宋体" w:cs="宋体"/>
          <w:b/>
          <w:bCs/>
          <w:sz w:val="24"/>
          <w:szCs w:val="24"/>
        </w:rPr>
        <w:t>4.1  整体指标对比</w:t>
      </w:r>
    </w:p>
    <w:p w14:paraId="43A29CEA">
      <w:pPr>
        <w:spacing w:before="0" w:after="60" w:line="360" w:lineRule="auto"/>
        <w:ind w:firstLine="480"/>
        <w:jc w:val="both"/>
      </w:pPr>
      <w:r>
        <w:rPr>
          <w:rFonts w:ascii="宋体" w:hAnsi="宋体" w:eastAsia="宋体" w:cs="宋体"/>
          <w:b w:val="0"/>
          <w:bCs w:val="0"/>
          <w:i w:val="0"/>
          <w:iCs w:val="0"/>
          <w:sz w:val="24"/>
          <w:szCs w:val="24"/>
        </w:rPr>
        <w:t>在相同的测试集上，对</w:t>
      </w:r>
      <w:r>
        <w:rPr>
          <w:rFonts w:ascii="Times New Roman" w:hAnsi="Times New Roman" w:eastAsia="Times New Roman" w:cs="Times New Roman"/>
          <w:b w:val="0"/>
          <w:bCs w:val="0"/>
          <w:i w:val="0"/>
          <w:iCs w:val="0"/>
          <w:sz w:val="24"/>
          <w:szCs w:val="24"/>
        </w:rPr>
        <w:t xml:space="preserve"> Item-CF</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SASRec+MLP </w:t>
      </w:r>
      <w:r>
        <w:rPr>
          <w:rFonts w:ascii="宋体" w:hAnsi="宋体" w:eastAsia="宋体" w:cs="宋体"/>
          <w:b w:val="0"/>
          <w:bCs w:val="0"/>
          <w:i w:val="0"/>
          <w:iCs w:val="0"/>
          <w:sz w:val="24"/>
          <w:szCs w:val="24"/>
        </w:rPr>
        <w:t>三个模型分别评估了</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NDCG@10 </w:t>
      </w:r>
      <w:r>
        <w:rPr>
          <w:rFonts w:ascii="宋体" w:hAnsi="宋体" w:eastAsia="宋体" w:cs="宋体"/>
          <w:b w:val="0"/>
          <w:bCs w:val="0"/>
          <w:i w:val="0"/>
          <w:iCs w:val="0"/>
          <w:sz w:val="24"/>
          <w:szCs w:val="24"/>
        </w:rPr>
        <w:t>两项指标。三种模型均使用相同的用户序列划分，以序列末尾一条记录作为测试目标，其余记录构成训练输入。各模型的对比结果如图</w:t>
      </w:r>
      <w:r>
        <w:rPr>
          <w:rFonts w:ascii="Times New Roman" w:hAnsi="Times New Roman" w:eastAsia="Times New Roman" w:cs="Times New Roman"/>
          <w:b w:val="0"/>
          <w:bCs w:val="0"/>
          <w:i w:val="0"/>
          <w:iCs w:val="0"/>
          <w:sz w:val="24"/>
          <w:szCs w:val="24"/>
        </w:rPr>
        <w:t xml:space="preserve"> 2 </w:t>
      </w:r>
      <w:r>
        <w:rPr>
          <w:rFonts w:ascii="宋体" w:hAnsi="宋体" w:eastAsia="宋体" w:cs="宋体"/>
          <w:b w:val="0"/>
          <w:bCs w:val="0"/>
          <w:i w:val="0"/>
          <w:iCs w:val="0"/>
          <w:sz w:val="24"/>
          <w:szCs w:val="24"/>
        </w:rPr>
        <w:t>所示，详细数值见表</w:t>
      </w:r>
      <w:r>
        <w:rPr>
          <w:rFonts w:ascii="Times New Roman" w:hAnsi="Times New Roman" w:eastAsia="Times New Roman" w:cs="Times New Roman"/>
          <w:b w:val="0"/>
          <w:bCs w:val="0"/>
          <w:i w:val="0"/>
          <w:iCs w:val="0"/>
          <w:sz w:val="24"/>
          <w:szCs w:val="24"/>
        </w:rPr>
        <w:t xml:space="preserve"> 2</w:t>
      </w:r>
      <w:r>
        <w:rPr>
          <w:rFonts w:ascii="宋体" w:hAnsi="宋体" w:eastAsia="宋体" w:cs="宋体"/>
          <w:b w:val="0"/>
          <w:bCs w:val="0"/>
          <w:i w:val="0"/>
          <w:iCs w:val="0"/>
          <w:sz w:val="24"/>
          <w:szCs w:val="24"/>
        </w:rPr>
        <w:t>。</w:t>
      </w:r>
    </w:p>
    <w:p w14:paraId="2638E84A">
      <w:pPr>
        <w:spacing w:before="120" w:after="60"/>
        <w:jc w:val="center"/>
      </w:pPr>
      <w:r>
        <w:drawing>
          <wp:inline distT="0" distB="0" distL="0" distR="0">
            <wp:extent cx="5334000" cy="3200400"/>
            <wp:effectExtent l="0" t="0" r="0" b="0"/>
            <wp:docPr id="2" name="model_comparison" descr="model_comparison" title="model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del_comparison" descr="model_comparison" title="model_comparison"/>
                    <pic:cNvPicPr>
                      <a:picLocks noChangeAspect="1" noChangeArrowheads="1"/>
                    </pic:cNvPicPr>
                  </pic:nvPicPr>
                  <pic:blipFill>
                    <a:blip r:embed="rId6"/>
                    <a:srcRect/>
                    <a:stretch>
                      <a:fillRect/>
                    </a:stretch>
                  </pic:blipFill>
                  <pic:spPr>
                    <a:xfrm>
                      <a:off x="0" y="0"/>
                      <a:ext cx="5334000" cy="3200400"/>
                    </a:xfrm>
                    <a:prstGeom prst="rect">
                      <a:avLst/>
                    </a:prstGeom>
                  </pic:spPr>
                </pic:pic>
              </a:graphicData>
            </a:graphic>
          </wp:inline>
        </w:drawing>
      </w:r>
    </w:p>
    <w:p w14:paraId="04ADA4EA">
      <w:pPr>
        <w:spacing w:before="0" w:after="200"/>
        <w:jc w:val="center"/>
      </w:pPr>
      <w:r>
        <w:rPr>
          <w:rFonts w:ascii="宋体" w:hAnsi="宋体" w:eastAsia="宋体" w:cs="宋体"/>
          <w:sz w:val="21"/>
          <w:szCs w:val="21"/>
        </w:rPr>
        <w:t>图2  三个模型的 Recall@10 与 NDCG@10 对比</w:t>
      </w:r>
    </w:p>
    <w:p w14:paraId="22936328">
      <w:pPr>
        <w:spacing w:before="200" w:after="60"/>
        <w:jc w:val="center"/>
      </w:pPr>
      <w:r>
        <w:rPr>
          <w:rFonts w:ascii="宋体" w:hAnsi="宋体" w:eastAsia="宋体" w:cs="宋体"/>
          <w:sz w:val="21"/>
          <w:szCs w:val="21"/>
        </w:rPr>
        <w:t>表2  各模型评估指标对比</w:t>
      </w:r>
    </w:p>
    <w:tbl>
      <w:tblPr>
        <w:tblStyle w:val="11"/>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084"/>
        <w:gridCol w:w="1995"/>
        <w:gridCol w:w="1995"/>
        <w:gridCol w:w="1996"/>
      </w:tblGrid>
      <w:tr w14:paraId="1999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2120F576">
            <w:pPr>
              <w:spacing w:line="288" w:lineRule="auto"/>
              <w:jc w:val="center"/>
            </w:pPr>
            <w:r>
              <w:rPr>
                <w:rFonts w:ascii="宋体" w:hAnsi="宋体" w:eastAsia="宋体" w:cs="宋体"/>
                <w:b/>
                <w:bCs/>
                <w:i w:val="0"/>
                <w:iCs w:val="0"/>
                <w:sz w:val="22"/>
                <w:szCs w:val="22"/>
              </w:rPr>
              <w:t>模型</w:t>
            </w:r>
          </w:p>
        </w:tc>
        <w:tc>
          <w:tcPr>
            <w:tcW w:w="1995"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17D9742B">
            <w:pPr>
              <w:spacing w:line="288" w:lineRule="auto"/>
              <w:jc w:val="center"/>
            </w:pPr>
            <w:r>
              <w:rPr>
                <w:rFonts w:ascii="Times New Roman" w:hAnsi="Times New Roman" w:eastAsia="Times New Roman" w:cs="Times New Roman"/>
                <w:b/>
                <w:bCs/>
                <w:i w:val="0"/>
                <w:iCs w:val="0"/>
                <w:sz w:val="22"/>
                <w:szCs w:val="22"/>
              </w:rPr>
              <w:t>Recall@10</w:t>
            </w:r>
          </w:p>
        </w:tc>
        <w:tc>
          <w:tcPr>
            <w:tcW w:w="1995"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33930502">
            <w:pPr>
              <w:spacing w:line="288" w:lineRule="auto"/>
              <w:jc w:val="center"/>
            </w:pPr>
            <w:r>
              <w:rPr>
                <w:rFonts w:ascii="Times New Roman" w:hAnsi="Times New Roman" w:eastAsia="Times New Roman" w:cs="Times New Roman"/>
                <w:b/>
                <w:bCs/>
                <w:i w:val="0"/>
                <w:iCs w:val="0"/>
                <w:sz w:val="22"/>
                <w:szCs w:val="22"/>
              </w:rPr>
              <w:t>NDCG@10</w:t>
            </w:r>
          </w:p>
        </w:tc>
        <w:tc>
          <w:tcPr>
            <w:tcW w:w="1996"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3F4596F5">
            <w:pPr>
              <w:spacing w:line="288" w:lineRule="auto"/>
              <w:jc w:val="center"/>
            </w:pPr>
            <w:r>
              <w:rPr>
                <w:rFonts w:ascii="宋体" w:hAnsi="宋体" w:eastAsia="宋体" w:cs="宋体"/>
                <w:b/>
                <w:bCs/>
                <w:i w:val="0"/>
                <w:iCs w:val="0"/>
                <w:sz w:val="22"/>
                <w:szCs w:val="22"/>
              </w:rPr>
              <w:t>相对</w:t>
            </w:r>
            <w:r>
              <w:rPr>
                <w:rFonts w:ascii="Times New Roman" w:hAnsi="Times New Roman" w:eastAsia="Times New Roman" w:cs="Times New Roman"/>
                <w:b/>
                <w:bCs/>
                <w:i w:val="0"/>
                <w:iCs w:val="0"/>
                <w:sz w:val="22"/>
                <w:szCs w:val="22"/>
              </w:rPr>
              <w:t xml:space="preserve"> Item-CF </w:t>
            </w:r>
            <w:r>
              <w:rPr>
                <w:rFonts w:ascii="宋体" w:hAnsi="宋体" w:eastAsia="宋体" w:cs="宋体"/>
                <w:b/>
                <w:bCs/>
                <w:i w:val="0"/>
                <w:iCs w:val="0"/>
                <w:sz w:val="22"/>
                <w:szCs w:val="22"/>
              </w:rPr>
              <w:t>变化</w:t>
            </w:r>
          </w:p>
        </w:tc>
      </w:tr>
      <w:tr w14:paraId="0A46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987B768">
            <w:pPr>
              <w:spacing w:line="288" w:lineRule="auto"/>
              <w:jc w:val="center"/>
            </w:pPr>
            <w:r>
              <w:rPr>
                <w:rFonts w:ascii="Times New Roman" w:hAnsi="Times New Roman" w:eastAsia="Times New Roman" w:cs="Times New Roman"/>
                <w:b w:val="0"/>
                <w:bCs w:val="0"/>
                <w:i w:val="0"/>
                <w:iCs w:val="0"/>
                <w:sz w:val="21"/>
                <w:szCs w:val="21"/>
              </w:rPr>
              <w:t>Item-CF</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58FC64F">
            <w:pPr>
              <w:spacing w:line="288" w:lineRule="auto"/>
              <w:jc w:val="center"/>
            </w:pPr>
            <w:r>
              <w:rPr>
                <w:rFonts w:ascii="Times New Roman" w:hAnsi="Times New Roman" w:eastAsia="Times New Roman" w:cs="Times New Roman"/>
                <w:b w:val="0"/>
                <w:bCs w:val="0"/>
                <w:i w:val="0"/>
                <w:iCs w:val="0"/>
                <w:sz w:val="21"/>
                <w:szCs w:val="21"/>
              </w:rPr>
              <w:t>0.0380</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1C966834">
            <w:pPr>
              <w:spacing w:line="288" w:lineRule="auto"/>
              <w:jc w:val="center"/>
            </w:pPr>
            <w:r>
              <w:rPr>
                <w:rFonts w:ascii="Times New Roman" w:hAnsi="Times New Roman" w:eastAsia="Times New Roman" w:cs="Times New Roman"/>
                <w:b w:val="0"/>
                <w:bCs w:val="0"/>
                <w:i w:val="0"/>
                <w:iCs w:val="0"/>
                <w:sz w:val="21"/>
                <w:szCs w:val="21"/>
              </w:rPr>
              <w:t>0.0236</w:t>
            </w:r>
          </w:p>
        </w:tc>
        <w:tc>
          <w:tcPr>
            <w:tcW w:w="1996"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5399452">
            <w:pPr>
              <w:spacing w:line="288" w:lineRule="auto"/>
              <w:jc w:val="center"/>
            </w:pPr>
            <w:r>
              <w:rPr>
                <w:rFonts w:ascii="宋体" w:hAnsi="宋体" w:eastAsia="宋体" w:cs="宋体"/>
                <w:b w:val="0"/>
                <w:bCs w:val="0"/>
                <w:i w:val="0"/>
                <w:iCs w:val="0"/>
                <w:sz w:val="21"/>
                <w:szCs w:val="21"/>
              </w:rPr>
              <w:t>基准</w:t>
            </w:r>
          </w:p>
        </w:tc>
      </w:tr>
      <w:tr w14:paraId="05CB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48BE8311">
            <w:pPr>
              <w:spacing w:line="288" w:lineRule="auto"/>
              <w:jc w:val="center"/>
            </w:pPr>
            <w:r>
              <w:rPr>
                <w:rFonts w:ascii="Times New Roman" w:hAnsi="Times New Roman" w:eastAsia="Times New Roman" w:cs="Times New Roman"/>
                <w:b w:val="0"/>
                <w:bCs w:val="0"/>
                <w:i w:val="0"/>
                <w:iCs w:val="0"/>
                <w:sz w:val="21"/>
                <w:szCs w:val="21"/>
              </w:rPr>
              <w:t>GRU4Rec</w:t>
            </w:r>
          </w:p>
        </w:tc>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0A1DFA0">
            <w:pPr>
              <w:spacing w:line="288" w:lineRule="auto"/>
              <w:jc w:val="center"/>
            </w:pPr>
            <w:r>
              <w:rPr>
                <w:rFonts w:ascii="Times New Roman" w:hAnsi="Times New Roman" w:eastAsia="Times New Roman" w:cs="Times New Roman"/>
                <w:b w:val="0"/>
                <w:bCs w:val="0"/>
                <w:i w:val="0"/>
                <w:iCs w:val="0"/>
                <w:sz w:val="21"/>
                <w:szCs w:val="21"/>
              </w:rPr>
              <w:t>0.0540</w:t>
            </w:r>
          </w:p>
        </w:tc>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0415C2B4">
            <w:pPr>
              <w:spacing w:line="288" w:lineRule="auto"/>
              <w:jc w:val="center"/>
            </w:pPr>
            <w:r>
              <w:rPr>
                <w:rFonts w:ascii="Times New Roman" w:hAnsi="Times New Roman" w:eastAsia="Times New Roman" w:cs="Times New Roman"/>
                <w:b w:val="0"/>
                <w:bCs w:val="0"/>
                <w:i w:val="0"/>
                <w:iCs w:val="0"/>
                <w:sz w:val="21"/>
                <w:szCs w:val="21"/>
              </w:rPr>
              <w:t>0.0277</w:t>
            </w:r>
          </w:p>
        </w:tc>
        <w:tc>
          <w:tcPr>
            <w:tcW w:w="1996"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5DF67DE">
            <w:pPr>
              <w:spacing w:line="288" w:lineRule="auto"/>
              <w:jc w:val="center"/>
            </w:pPr>
            <w:r>
              <w:rPr>
                <w:rFonts w:ascii="Times New Roman" w:hAnsi="Times New Roman" w:eastAsia="Times New Roman" w:cs="Times New Roman"/>
                <w:b w:val="0"/>
                <w:bCs w:val="0"/>
                <w:i w:val="0"/>
                <w:iCs w:val="0"/>
                <w:sz w:val="21"/>
                <w:szCs w:val="21"/>
              </w:rPr>
              <w:t>+42.1% / +17.4%</w:t>
            </w:r>
          </w:p>
        </w:tc>
      </w:tr>
      <w:tr w14:paraId="24B3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2B26563">
            <w:pPr>
              <w:spacing w:line="288" w:lineRule="auto"/>
              <w:jc w:val="center"/>
            </w:pPr>
            <w:r>
              <w:rPr>
                <w:rFonts w:ascii="Times New Roman" w:hAnsi="Times New Roman" w:eastAsia="Times New Roman" w:cs="Times New Roman"/>
                <w:b w:val="0"/>
                <w:bCs w:val="0"/>
                <w:i w:val="0"/>
                <w:iCs w:val="0"/>
                <w:sz w:val="21"/>
                <w:szCs w:val="21"/>
              </w:rPr>
              <w:t>SASRec+MLP</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7B72921B">
            <w:pPr>
              <w:spacing w:line="288" w:lineRule="auto"/>
              <w:jc w:val="center"/>
            </w:pPr>
            <w:r>
              <w:rPr>
                <w:rFonts w:ascii="Times New Roman" w:hAnsi="Times New Roman" w:eastAsia="Times New Roman" w:cs="Times New Roman"/>
                <w:b w:val="0"/>
                <w:bCs w:val="0"/>
                <w:i w:val="0"/>
                <w:iCs w:val="0"/>
                <w:sz w:val="21"/>
                <w:szCs w:val="21"/>
              </w:rPr>
              <w:t>0.0480</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5ECD4B88">
            <w:pPr>
              <w:spacing w:line="288" w:lineRule="auto"/>
              <w:jc w:val="center"/>
            </w:pPr>
            <w:r>
              <w:rPr>
                <w:rFonts w:ascii="Times New Roman" w:hAnsi="Times New Roman" w:eastAsia="Times New Roman" w:cs="Times New Roman"/>
                <w:b w:val="0"/>
                <w:bCs w:val="0"/>
                <w:i w:val="0"/>
                <w:iCs w:val="0"/>
                <w:sz w:val="21"/>
                <w:szCs w:val="21"/>
              </w:rPr>
              <w:t>0.0291</w:t>
            </w:r>
          </w:p>
        </w:tc>
        <w:tc>
          <w:tcPr>
            <w:tcW w:w="1996"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A027288">
            <w:pPr>
              <w:spacing w:line="288" w:lineRule="auto"/>
              <w:jc w:val="center"/>
            </w:pPr>
            <w:r>
              <w:rPr>
                <w:rFonts w:ascii="Times New Roman" w:hAnsi="Times New Roman" w:eastAsia="Times New Roman" w:cs="Times New Roman"/>
                <w:b w:val="0"/>
                <w:bCs w:val="0"/>
                <w:i w:val="0"/>
                <w:iCs w:val="0"/>
                <w:sz w:val="21"/>
                <w:szCs w:val="21"/>
              </w:rPr>
              <w:t>+26.3% / +23.3%</w:t>
            </w:r>
          </w:p>
        </w:tc>
      </w:tr>
    </w:tbl>
    <w:p w14:paraId="5BBB1DC7">
      <w:pPr>
        <w:spacing w:before="0" w:after="0"/>
      </w:pPr>
    </w:p>
    <w:p w14:paraId="4704E186">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在</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上排名第一，达到</w:t>
      </w:r>
      <w:r>
        <w:rPr>
          <w:rFonts w:ascii="Times New Roman" w:hAnsi="Times New Roman" w:eastAsia="Times New Roman" w:cs="Times New Roman"/>
          <w:b w:val="0"/>
          <w:bCs w:val="0"/>
          <w:i w:val="0"/>
          <w:iCs w:val="0"/>
          <w:sz w:val="24"/>
          <w:szCs w:val="24"/>
        </w:rPr>
        <w:t xml:space="preserve"> 0.0540</w:t>
      </w:r>
      <w:r>
        <w:rPr>
          <w:rFonts w:ascii="宋体" w:hAnsi="宋体" w:eastAsia="宋体" w:cs="宋体"/>
          <w:b w:val="0"/>
          <w:bCs w:val="0"/>
          <w:i w:val="0"/>
          <w:iCs w:val="0"/>
          <w:sz w:val="24"/>
          <w:szCs w:val="24"/>
        </w:rPr>
        <w:t>，比</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高出</w:t>
      </w:r>
      <w:r>
        <w:rPr>
          <w:rFonts w:ascii="Times New Roman" w:hAnsi="Times New Roman" w:eastAsia="Times New Roman" w:cs="Times New Roman"/>
          <w:b w:val="0"/>
          <w:bCs w:val="0"/>
          <w:i w:val="0"/>
          <w:iCs w:val="0"/>
          <w:sz w:val="24"/>
          <w:szCs w:val="24"/>
        </w:rPr>
        <w:t xml:space="preserve"> 42.1%</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在</w:t>
      </w:r>
      <w:r>
        <w:rPr>
          <w:rFonts w:ascii="Times New Roman" w:hAnsi="Times New Roman" w:eastAsia="Times New Roman" w:cs="Times New Roman"/>
          <w:b w:val="0"/>
          <w:bCs w:val="0"/>
          <w:i w:val="0"/>
          <w:iCs w:val="0"/>
          <w:sz w:val="24"/>
          <w:szCs w:val="24"/>
        </w:rPr>
        <w:t xml:space="preserve"> NDCG@10 </w:t>
      </w:r>
      <w:r>
        <w:rPr>
          <w:rFonts w:ascii="宋体" w:hAnsi="宋体" w:eastAsia="宋体" w:cs="宋体"/>
          <w:b w:val="0"/>
          <w:bCs w:val="0"/>
          <w:i w:val="0"/>
          <w:iCs w:val="0"/>
          <w:sz w:val="24"/>
          <w:szCs w:val="24"/>
        </w:rPr>
        <w:t>上取得最高分</w:t>
      </w:r>
      <w:r>
        <w:rPr>
          <w:rFonts w:ascii="Times New Roman" w:hAnsi="Times New Roman" w:eastAsia="Times New Roman" w:cs="Times New Roman"/>
          <w:b w:val="0"/>
          <w:bCs w:val="0"/>
          <w:i w:val="0"/>
          <w:iCs w:val="0"/>
          <w:sz w:val="24"/>
          <w:szCs w:val="24"/>
        </w:rPr>
        <w:t xml:space="preserve"> 0.0291</w:t>
      </w:r>
      <w:r>
        <w:rPr>
          <w:rFonts w:ascii="宋体" w:hAnsi="宋体" w:eastAsia="宋体" w:cs="宋体"/>
          <w:b w:val="0"/>
          <w:bCs w:val="0"/>
          <w:i w:val="0"/>
          <w:iCs w:val="0"/>
          <w:sz w:val="24"/>
          <w:szCs w:val="24"/>
        </w:rPr>
        <w:t>，比</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高出</w:t>
      </w:r>
      <w:r>
        <w:rPr>
          <w:rFonts w:ascii="Times New Roman" w:hAnsi="Times New Roman" w:eastAsia="Times New Roman" w:cs="Times New Roman"/>
          <w:b w:val="0"/>
          <w:bCs w:val="0"/>
          <w:i w:val="0"/>
          <w:iCs w:val="0"/>
          <w:sz w:val="24"/>
          <w:szCs w:val="24"/>
        </w:rPr>
        <w:t xml:space="preserve"> 5.1%</w:t>
      </w:r>
      <w:r>
        <w:rPr>
          <w:rFonts w:ascii="宋体" w:hAnsi="宋体" w:eastAsia="宋体" w:cs="宋体"/>
          <w:b w:val="0"/>
          <w:bCs w:val="0"/>
          <w:i w:val="0"/>
          <w:iCs w:val="0"/>
          <w:sz w:val="24"/>
          <w:szCs w:val="24"/>
        </w:rPr>
        <w:t>，比</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高出</w:t>
      </w:r>
      <w:r>
        <w:rPr>
          <w:rFonts w:ascii="Times New Roman" w:hAnsi="Times New Roman" w:eastAsia="Times New Roman" w:cs="Times New Roman"/>
          <w:b w:val="0"/>
          <w:bCs w:val="0"/>
          <w:i w:val="0"/>
          <w:iCs w:val="0"/>
          <w:sz w:val="24"/>
          <w:szCs w:val="24"/>
        </w:rPr>
        <w:t xml:space="preserve"> 23.3%</w:t>
      </w:r>
      <w:r>
        <w:rPr>
          <w:rFonts w:ascii="宋体" w:hAnsi="宋体" w:eastAsia="宋体" w:cs="宋体"/>
          <w:b w:val="0"/>
          <w:bCs w:val="0"/>
          <w:i w:val="0"/>
          <w:iCs w:val="0"/>
          <w:sz w:val="24"/>
          <w:szCs w:val="24"/>
        </w:rPr>
        <w:t>，说明属性融合后的推荐列表排序质量更优。</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的</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0.0480</w:t>
      </w:r>
      <w:r>
        <w:rPr>
          <w:rFonts w:ascii="宋体" w:hAnsi="宋体" w:eastAsia="宋体" w:cs="宋体"/>
          <w:b w:val="0"/>
          <w:bCs w:val="0"/>
          <w:i w:val="0"/>
          <w:iCs w:val="0"/>
          <w:sz w:val="24"/>
          <w:szCs w:val="24"/>
        </w:rPr>
        <w:t>，位居第二，比</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提升</w:t>
      </w:r>
      <w:r>
        <w:rPr>
          <w:rFonts w:ascii="Times New Roman" w:hAnsi="Times New Roman" w:eastAsia="Times New Roman" w:cs="Times New Roman"/>
          <w:b w:val="0"/>
          <w:bCs w:val="0"/>
          <w:i w:val="0"/>
          <w:iCs w:val="0"/>
          <w:sz w:val="24"/>
          <w:szCs w:val="24"/>
        </w:rPr>
        <w:t xml:space="preserve"> 26.3%</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排名第三，说明纯协同过滤在京东购买数据上虽有一定竞争力，但不及引入序列建模的深度方法。</w:t>
      </w:r>
    </w:p>
    <w:p w14:paraId="0211340D">
      <w:pPr>
        <w:spacing w:before="300" w:after="100" w:line="360" w:lineRule="auto"/>
      </w:pPr>
      <w:r>
        <w:rPr>
          <w:rFonts w:ascii="宋体" w:hAnsi="宋体" w:eastAsia="宋体" w:cs="宋体"/>
          <w:b/>
          <w:bCs/>
          <w:sz w:val="24"/>
          <w:szCs w:val="24"/>
        </w:rPr>
        <w:t>4.2  训练收敛分析</w:t>
      </w:r>
    </w:p>
    <w:p w14:paraId="183F8F64">
      <w:pPr>
        <w:spacing w:before="0" w:after="60" w:line="360" w:lineRule="auto"/>
        <w:ind w:firstLine="480"/>
        <w:jc w:val="both"/>
      </w:pPr>
      <w:r>
        <w:rPr>
          <w:rFonts w:ascii="宋体" w:hAnsi="宋体" w:eastAsia="宋体" w:cs="宋体"/>
          <w:b w:val="0"/>
          <w:bCs w:val="0"/>
          <w:i w:val="0"/>
          <w:iCs w:val="0"/>
          <w:sz w:val="24"/>
          <w:szCs w:val="24"/>
        </w:rPr>
        <w:t>图</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展示了</w:t>
      </w:r>
      <w:r>
        <w:rPr>
          <w:rFonts w:ascii="Times New Roman" w:hAnsi="Times New Roman" w:eastAsia="Times New Roman" w:cs="Times New Roman"/>
          <w:b w:val="0"/>
          <w:bCs w:val="0"/>
          <w:i w:val="0"/>
          <w:iCs w:val="0"/>
          <w:sz w:val="24"/>
          <w:szCs w:val="24"/>
        </w:rPr>
        <w:t xml:space="preserve"> SASRec+MLP </w:t>
      </w:r>
      <w:r>
        <w:rPr>
          <w:rFonts w:ascii="宋体" w:hAnsi="宋体" w:eastAsia="宋体" w:cs="宋体"/>
          <w:b w:val="0"/>
          <w:bCs w:val="0"/>
          <w:i w:val="0"/>
          <w:iCs w:val="0"/>
          <w:sz w:val="24"/>
          <w:szCs w:val="24"/>
        </w:rPr>
        <w:t>在全量数据下</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轮训练的损失曲线（</w:t>
      </w:r>
      <w:r>
        <w:rPr>
          <w:rFonts w:ascii="Times New Roman" w:hAnsi="Times New Roman" w:eastAsia="Times New Roman" w:cs="Times New Roman"/>
          <w:b w:val="0"/>
          <w:bCs w:val="0"/>
          <w:i w:val="0"/>
          <w:iCs w:val="0"/>
          <w:sz w:val="24"/>
          <w:szCs w:val="24"/>
        </w:rPr>
        <w:t>CrossEntropyLoss</w:t>
      </w:r>
      <w:r>
        <w:rPr>
          <w:rFonts w:ascii="宋体" w:hAnsi="宋体" w:eastAsia="宋体" w:cs="宋体"/>
          <w:b w:val="0"/>
          <w:bCs w:val="0"/>
          <w:i w:val="0"/>
          <w:iCs w:val="0"/>
          <w:sz w:val="24"/>
          <w:szCs w:val="24"/>
        </w:rPr>
        <w:t>）。损失从第</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轮的</w:t>
      </w:r>
      <w:r>
        <w:rPr>
          <w:rFonts w:ascii="Times New Roman" w:hAnsi="Times New Roman" w:eastAsia="Times New Roman" w:cs="Times New Roman"/>
          <w:b w:val="0"/>
          <w:bCs w:val="0"/>
          <w:i w:val="0"/>
          <w:iCs w:val="0"/>
          <w:sz w:val="24"/>
          <w:szCs w:val="24"/>
        </w:rPr>
        <w:t xml:space="preserve"> 4.7079 </w:t>
      </w:r>
      <w:r>
        <w:rPr>
          <w:rFonts w:ascii="宋体" w:hAnsi="宋体" w:eastAsia="宋体" w:cs="宋体"/>
          <w:b w:val="0"/>
          <w:bCs w:val="0"/>
          <w:i w:val="0"/>
          <w:iCs w:val="0"/>
          <w:sz w:val="24"/>
          <w:szCs w:val="24"/>
        </w:rPr>
        <w:t>持续下降至第</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轮的</w:t>
      </w:r>
      <w:r>
        <w:rPr>
          <w:rFonts w:ascii="Times New Roman" w:hAnsi="Times New Roman" w:eastAsia="Times New Roman" w:cs="Times New Roman"/>
          <w:b w:val="0"/>
          <w:bCs w:val="0"/>
          <w:i w:val="0"/>
          <w:iCs w:val="0"/>
          <w:sz w:val="24"/>
          <w:szCs w:val="24"/>
        </w:rPr>
        <w:t xml:space="preserve"> 3.9868</w:t>
      </w:r>
      <w:r>
        <w:rPr>
          <w:rFonts w:ascii="宋体" w:hAnsi="宋体" w:eastAsia="宋体" w:cs="宋体"/>
          <w:b w:val="0"/>
          <w:bCs w:val="0"/>
          <w:i w:val="0"/>
          <w:iCs w:val="0"/>
          <w:sz w:val="24"/>
          <w:szCs w:val="24"/>
        </w:rPr>
        <w:t>，整体下降约</w:t>
      </w:r>
      <w:r>
        <w:rPr>
          <w:rFonts w:ascii="Times New Roman" w:hAnsi="Times New Roman" w:eastAsia="Times New Roman" w:cs="Times New Roman"/>
          <w:b w:val="0"/>
          <w:bCs w:val="0"/>
          <w:i w:val="0"/>
          <w:iCs w:val="0"/>
          <w:sz w:val="24"/>
          <w:szCs w:val="24"/>
        </w:rPr>
        <w:t xml:space="preserve"> 15.3%</w:t>
      </w:r>
      <w:r>
        <w:rPr>
          <w:rFonts w:ascii="宋体" w:hAnsi="宋体" w:eastAsia="宋体" w:cs="宋体"/>
          <w:b w:val="0"/>
          <w:bCs w:val="0"/>
          <w:i w:val="0"/>
          <w:iCs w:val="0"/>
          <w:sz w:val="24"/>
          <w:szCs w:val="24"/>
        </w:rPr>
        <w:t>，收敛趋势良好。</w:t>
      </w:r>
    </w:p>
    <w:p w14:paraId="135142FB">
      <w:pPr>
        <w:spacing w:before="120" w:after="60"/>
        <w:jc w:val="center"/>
      </w:pPr>
      <w:r>
        <w:drawing>
          <wp:inline distT="0" distB="0" distL="0" distR="0">
            <wp:extent cx="5334000" cy="3733800"/>
            <wp:effectExtent l="0" t="0" r="0" b="0"/>
            <wp:docPr id="3" name="train_loss" descr="train_loss" title="train_l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ain_loss" descr="train_loss" title="train_loss"/>
                    <pic:cNvPicPr>
                      <a:picLocks noChangeAspect="1" noChangeArrowheads="1"/>
                    </pic:cNvPicPr>
                  </pic:nvPicPr>
                  <pic:blipFill>
                    <a:blip r:embed="rId7"/>
                    <a:srcRect/>
                    <a:stretch>
                      <a:fillRect/>
                    </a:stretch>
                  </pic:blipFill>
                  <pic:spPr>
                    <a:xfrm>
                      <a:off x="0" y="0"/>
                      <a:ext cx="5334000" cy="3733800"/>
                    </a:xfrm>
                    <a:prstGeom prst="rect">
                      <a:avLst/>
                    </a:prstGeom>
                  </pic:spPr>
                </pic:pic>
              </a:graphicData>
            </a:graphic>
          </wp:inline>
        </w:drawing>
      </w:r>
    </w:p>
    <w:p w14:paraId="0206DAB4">
      <w:pPr>
        <w:spacing w:before="0" w:after="200"/>
        <w:jc w:val="center"/>
      </w:pPr>
      <w:r>
        <w:rPr>
          <w:rFonts w:ascii="宋体" w:hAnsi="宋体" w:eastAsia="宋体" w:cs="宋体"/>
          <w:sz w:val="21"/>
          <w:szCs w:val="21"/>
        </w:rPr>
        <w:t>图3  SASRec+MLP 训练损失曲线（15 轮，全量数据，CrossEntropyLoss）</w:t>
      </w:r>
    </w:p>
    <w:p w14:paraId="76BA0A30">
      <w:pPr>
        <w:spacing w:before="0" w:after="60" w:line="360" w:lineRule="auto"/>
        <w:ind w:firstLine="480"/>
        <w:jc w:val="both"/>
      </w:pPr>
      <w:r>
        <w:rPr>
          <w:rFonts w:ascii="宋体" w:hAnsi="宋体" w:eastAsia="宋体" w:cs="宋体"/>
          <w:b w:val="0"/>
          <w:bCs w:val="0"/>
          <w:i w:val="0"/>
          <w:iCs w:val="0"/>
          <w:sz w:val="24"/>
          <w:szCs w:val="24"/>
        </w:rPr>
        <w:t>从收敛速度来看，前两轮损失下降最为迅速（</w:t>
      </w:r>
      <w:r>
        <w:rPr>
          <w:rFonts w:ascii="Times New Roman" w:hAnsi="Times New Roman" w:eastAsia="Times New Roman" w:cs="Times New Roman"/>
          <w:b w:val="0"/>
          <w:bCs w:val="0"/>
          <w:i w:val="0"/>
          <w:iCs w:val="0"/>
          <w:sz w:val="24"/>
          <w:szCs w:val="24"/>
        </w:rPr>
        <w:t>4.7079 → 4.3219 → 4.2344</w:t>
      </w:r>
      <w:r>
        <w:rPr>
          <w:rFonts w:ascii="宋体" w:hAnsi="宋体" w:eastAsia="宋体" w:cs="宋体"/>
          <w:b w:val="0"/>
          <w:bCs w:val="0"/>
          <w:i w:val="0"/>
          <w:iCs w:val="0"/>
          <w:sz w:val="24"/>
          <w:szCs w:val="24"/>
        </w:rPr>
        <w:t>），第</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至第</w:t>
      </w:r>
      <w:r>
        <w:rPr>
          <w:rFonts w:ascii="Times New Roman" w:hAnsi="Times New Roman" w:eastAsia="Times New Roman" w:cs="Times New Roman"/>
          <w:b w:val="0"/>
          <w:bCs w:val="0"/>
          <w:i w:val="0"/>
          <w:iCs w:val="0"/>
          <w:sz w:val="24"/>
          <w:szCs w:val="24"/>
        </w:rPr>
        <w:t xml:space="preserve"> 8 </w:t>
      </w:r>
      <w:r>
        <w:rPr>
          <w:rFonts w:ascii="宋体" w:hAnsi="宋体" w:eastAsia="宋体" w:cs="宋体"/>
          <w:b w:val="0"/>
          <w:bCs w:val="0"/>
          <w:i w:val="0"/>
          <w:iCs w:val="0"/>
          <w:sz w:val="24"/>
          <w:szCs w:val="24"/>
        </w:rPr>
        <w:t>轮每轮平均下降约</w:t>
      </w:r>
      <w:r>
        <w:rPr>
          <w:rFonts w:ascii="Times New Roman" w:hAnsi="Times New Roman" w:eastAsia="Times New Roman" w:cs="Times New Roman"/>
          <w:b w:val="0"/>
          <w:bCs w:val="0"/>
          <w:i w:val="0"/>
          <w:iCs w:val="0"/>
          <w:sz w:val="24"/>
          <w:szCs w:val="24"/>
        </w:rPr>
        <w:t xml:space="preserve"> 0.04</w:t>
      </w:r>
      <w:r>
        <w:rPr>
          <w:rFonts w:ascii="宋体" w:hAnsi="宋体" w:eastAsia="宋体" w:cs="宋体"/>
          <w:b w:val="0"/>
          <w:bCs w:val="0"/>
          <w:i w:val="0"/>
          <w:iCs w:val="0"/>
          <w:sz w:val="24"/>
          <w:szCs w:val="24"/>
        </w:rPr>
        <w:t>，第</w:t>
      </w:r>
      <w:r>
        <w:rPr>
          <w:rFonts w:ascii="Times New Roman" w:hAnsi="Times New Roman" w:eastAsia="Times New Roman" w:cs="Times New Roman"/>
          <w:b w:val="0"/>
          <w:bCs w:val="0"/>
          <w:i w:val="0"/>
          <w:iCs w:val="0"/>
          <w:sz w:val="24"/>
          <w:szCs w:val="24"/>
        </w:rPr>
        <w:t xml:space="preserve"> 9 </w:t>
      </w:r>
      <w:r>
        <w:rPr>
          <w:rFonts w:ascii="宋体" w:hAnsi="宋体" w:eastAsia="宋体" w:cs="宋体"/>
          <w:b w:val="0"/>
          <w:bCs w:val="0"/>
          <w:i w:val="0"/>
          <w:iCs w:val="0"/>
          <w:sz w:val="24"/>
          <w:szCs w:val="24"/>
        </w:rPr>
        <w:t>至第</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轮趋于平缓，每轮平均下降约</w:t>
      </w:r>
      <w:r>
        <w:rPr>
          <w:rFonts w:ascii="Times New Roman" w:hAnsi="Times New Roman" w:eastAsia="Times New Roman" w:cs="Times New Roman"/>
          <w:b w:val="0"/>
          <w:bCs w:val="0"/>
          <w:i w:val="0"/>
          <w:iCs w:val="0"/>
          <w:sz w:val="24"/>
          <w:szCs w:val="24"/>
        </w:rPr>
        <w:t xml:space="preserve"> 0.01</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CE </w:t>
      </w:r>
      <w:r>
        <w:rPr>
          <w:rFonts w:ascii="宋体" w:hAnsi="宋体" w:eastAsia="宋体" w:cs="宋体"/>
          <w:b w:val="0"/>
          <w:bCs w:val="0"/>
          <w:i w:val="0"/>
          <w:iCs w:val="0"/>
          <w:sz w:val="24"/>
          <w:szCs w:val="24"/>
        </w:rPr>
        <w:t>损失的理论随机下界为</w:t>
      </w:r>
      <w:r>
        <w:rPr>
          <w:rFonts w:ascii="Times New Roman" w:hAnsi="Times New Roman" w:eastAsia="Times New Roman" w:cs="Times New Roman"/>
          <w:b w:val="0"/>
          <w:bCs w:val="0"/>
          <w:i w:val="0"/>
          <w:iCs w:val="0"/>
          <w:sz w:val="24"/>
          <w:szCs w:val="24"/>
        </w:rPr>
        <w:t xml:space="preserve"> ln(23738) ≈ 10.07</w:t>
      </w:r>
      <w:r>
        <w:rPr>
          <w:rFonts w:ascii="宋体" w:hAnsi="宋体" w:eastAsia="宋体" w:cs="宋体"/>
          <w:b w:val="0"/>
          <w:bCs w:val="0"/>
          <w:i w:val="0"/>
          <w:iCs w:val="0"/>
          <w:sz w:val="24"/>
          <w:szCs w:val="24"/>
        </w:rPr>
        <w:t>，第</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轮即降至</w:t>
      </w:r>
      <w:r>
        <w:rPr>
          <w:rFonts w:ascii="Times New Roman" w:hAnsi="Times New Roman" w:eastAsia="Times New Roman" w:cs="Times New Roman"/>
          <w:b w:val="0"/>
          <w:bCs w:val="0"/>
          <w:i w:val="0"/>
          <w:iCs w:val="0"/>
          <w:sz w:val="24"/>
          <w:szCs w:val="24"/>
        </w:rPr>
        <w:t xml:space="preserve"> 4.71</w:t>
      </w:r>
      <w:r>
        <w:rPr>
          <w:rFonts w:ascii="宋体" w:hAnsi="宋体" w:eastAsia="宋体" w:cs="宋体"/>
          <w:b w:val="0"/>
          <w:bCs w:val="0"/>
          <w:i w:val="0"/>
          <w:iCs w:val="0"/>
          <w:sz w:val="24"/>
          <w:szCs w:val="24"/>
        </w:rPr>
        <w:t>，说明</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与属性</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的联合初始化使模型在首轮训练中就已获得远优于随机猜测的排序信息。</w:t>
      </w:r>
    </w:p>
    <w:p w14:paraId="00CDAD38">
      <w:pPr>
        <w:spacing w:before="0" w:after="60" w:line="360" w:lineRule="auto"/>
        <w:ind w:firstLine="480"/>
        <w:jc w:val="both"/>
      </w:pPr>
      <w:r>
        <w:rPr>
          <w:rFonts w:ascii="宋体" w:hAnsi="宋体" w:eastAsia="宋体" w:cs="宋体"/>
          <w:b w:val="0"/>
          <w:bCs w:val="0"/>
          <w:i w:val="0"/>
          <w:iCs w:val="0"/>
          <w:sz w:val="24"/>
          <w:szCs w:val="24"/>
        </w:rPr>
        <w:t>训练中期评估显示，</w:t>
      </w:r>
      <w:r>
        <w:rPr>
          <w:rFonts w:ascii="Times New Roman" w:hAnsi="Times New Roman" w:eastAsia="Times New Roman" w:cs="Times New Roman"/>
          <w:b w:val="0"/>
          <w:bCs w:val="0"/>
          <w:i w:val="0"/>
          <w:iCs w:val="0"/>
          <w:sz w:val="24"/>
          <w:szCs w:val="24"/>
        </w:rPr>
        <w:t xml:space="preserve">Epoch 10 </w:t>
      </w:r>
      <w:r>
        <w:rPr>
          <w:rFonts w:ascii="宋体" w:hAnsi="宋体" w:eastAsia="宋体" w:cs="宋体"/>
          <w:b w:val="0"/>
          <w:bCs w:val="0"/>
          <w:i w:val="0"/>
          <w:iCs w:val="0"/>
          <w:sz w:val="24"/>
          <w:szCs w:val="24"/>
        </w:rPr>
        <w:t>时</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达到</w:t>
      </w:r>
      <w:r>
        <w:rPr>
          <w:rFonts w:ascii="Times New Roman" w:hAnsi="Times New Roman" w:eastAsia="Times New Roman" w:cs="Times New Roman"/>
          <w:b w:val="0"/>
          <w:bCs w:val="0"/>
          <w:i w:val="0"/>
          <w:iCs w:val="0"/>
          <w:sz w:val="24"/>
          <w:szCs w:val="24"/>
        </w:rPr>
        <w:t xml:space="preserve"> 0.0560</w:t>
      </w:r>
      <w:r>
        <w:rPr>
          <w:rFonts w:ascii="宋体" w:hAnsi="宋体" w:eastAsia="宋体" w:cs="宋体"/>
          <w:b w:val="0"/>
          <w:bCs w:val="0"/>
          <w:i w:val="0"/>
          <w:iCs w:val="0"/>
          <w:sz w:val="24"/>
          <w:szCs w:val="24"/>
        </w:rPr>
        <w:t>，而</w:t>
      </w:r>
      <w:r>
        <w:rPr>
          <w:rFonts w:ascii="Times New Roman" w:hAnsi="Times New Roman" w:eastAsia="Times New Roman" w:cs="Times New Roman"/>
          <w:b w:val="0"/>
          <w:bCs w:val="0"/>
          <w:i w:val="0"/>
          <w:iCs w:val="0"/>
          <w:sz w:val="24"/>
          <w:szCs w:val="24"/>
        </w:rPr>
        <w:t xml:space="preserve"> Epoch 15 </w:t>
      </w:r>
      <w:r>
        <w:rPr>
          <w:rFonts w:ascii="宋体" w:hAnsi="宋体" w:eastAsia="宋体" w:cs="宋体"/>
          <w:b w:val="0"/>
          <w:bCs w:val="0"/>
          <w:i w:val="0"/>
          <w:iCs w:val="0"/>
          <w:sz w:val="24"/>
          <w:szCs w:val="24"/>
        </w:rPr>
        <w:t>时</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降至</w:t>
      </w:r>
      <w:r>
        <w:rPr>
          <w:rFonts w:ascii="Times New Roman" w:hAnsi="Times New Roman" w:eastAsia="Times New Roman" w:cs="Times New Roman"/>
          <w:b w:val="0"/>
          <w:bCs w:val="0"/>
          <w:i w:val="0"/>
          <w:iCs w:val="0"/>
          <w:sz w:val="24"/>
          <w:szCs w:val="24"/>
        </w:rPr>
        <w:t xml:space="preserve"> 0.0400</w:t>
      </w:r>
      <w:r>
        <w:rPr>
          <w:rFonts w:ascii="宋体" w:hAnsi="宋体" w:eastAsia="宋体" w:cs="宋体"/>
          <w:b w:val="0"/>
          <w:bCs w:val="0"/>
          <w:i w:val="0"/>
          <w:iCs w:val="0"/>
          <w:sz w:val="24"/>
          <w:szCs w:val="24"/>
        </w:rPr>
        <w:t>，存在轻微过拟合现象。但由于评估采用随机抽样</w:t>
      </w:r>
      <w:r>
        <w:rPr>
          <w:rFonts w:ascii="Times New Roman" w:hAnsi="Times New Roman" w:eastAsia="Times New Roman" w:cs="Times New Roman"/>
          <w:b w:val="0"/>
          <w:bCs w:val="0"/>
          <w:i w:val="0"/>
          <w:iCs w:val="0"/>
          <w:sz w:val="24"/>
          <w:szCs w:val="24"/>
        </w:rPr>
        <w:t xml:space="preserve"> 500 </w:t>
      </w:r>
      <w:r>
        <w:rPr>
          <w:rFonts w:ascii="宋体" w:hAnsi="宋体" w:eastAsia="宋体" w:cs="宋体"/>
          <w:b w:val="0"/>
          <w:bCs w:val="0"/>
          <w:i w:val="0"/>
          <w:iCs w:val="0"/>
          <w:sz w:val="24"/>
          <w:szCs w:val="24"/>
        </w:rPr>
        <w:t>名用户，指标波动属于正常范围，最终全量评估结果</w:t>
      </w:r>
      <w:r>
        <w:rPr>
          <w:rFonts w:ascii="Times New Roman" w:hAnsi="Times New Roman" w:eastAsia="Times New Roman" w:cs="Times New Roman"/>
          <w:b w:val="0"/>
          <w:bCs w:val="0"/>
          <w:i w:val="0"/>
          <w:iCs w:val="0"/>
          <w:sz w:val="24"/>
          <w:szCs w:val="24"/>
        </w:rPr>
        <w:t xml:space="preserve"> Recall@10 = 0.0480 </w:t>
      </w:r>
      <w:r>
        <w:rPr>
          <w:rFonts w:ascii="宋体" w:hAnsi="宋体" w:eastAsia="宋体" w:cs="宋体"/>
          <w:b w:val="0"/>
          <w:bCs w:val="0"/>
          <w:i w:val="0"/>
          <w:iCs w:val="0"/>
          <w:sz w:val="24"/>
          <w:szCs w:val="24"/>
        </w:rPr>
        <w:t>居于两次中间评估之间。</w:t>
      </w:r>
    </w:p>
    <w:p w14:paraId="2DA4A480">
      <w:pPr>
        <w:spacing w:before="300" w:after="100" w:line="360" w:lineRule="auto"/>
      </w:pPr>
      <w:r>
        <w:rPr>
          <w:rFonts w:ascii="宋体" w:hAnsi="宋体" w:eastAsia="宋体" w:cs="宋体"/>
          <w:b/>
          <w:bCs/>
          <w:sz w:val="24"/>
          <w:szCs w:val="24"/>
        </w:rPr>
        <w:t>4.3  模型差异原因分析</w:t>
      </w:r>
    </w:p>
    <w:p w14:paraId="350EDE61">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在</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上表现最优，核心原因在于</w:t>
      </w:r>
      <w:r>
        <w:rPr>
          <w:rFonts w:ascii="Times New Roman" w:hAnsi="Times New Roman" w:eastAsia="Times New Roman" w:cs="Times New Roman"/>
          <w:b w:val="0"/>
          <w:bCs w:val="0"/>
          <w:i w:val="0"/>
          <w:iCs w:val="0"/>
          <w:sz w:val="24"/>
          <w:szCs w:val="24"/>
        </w:rPr>
        <w:t xml:space="preserve"> GRU </w:t>
      </w:r>
      <w:r>
        <w:rPr>
          <w:rFonts w:ascii="宋体" w:hAnsi="宋体" w:eastAsia="宋体" w:cs="宋体"/>
          <w:b w:val="0"/>
          <w:bCs w:val="0"/>
          <w:i w:val="0"/>
          <w:iCs w:val="0"/>
          <w:sz w:val="24"/>
          <w:szCs w:val="24"/>
        </w:rPr>
        <w:t>隐藏状态能通过循环机制压缩整个历史序列信息，对购买数据中的短期时序模式捕捉能力强；且模型结构简单（</w:t>
      </w:r>
      <w:r>
        <w:rPr>
          <w:rFonts w:ascii="Times New Roman" w:hAnsi="Times New Roman" w:eastAsia="Times New Roman" w:cs="Times New Roman"/>
          <w:b w:val="0"/>
          <w:bCs w:val="0"/>
          <w:i w:val="0"/>
          <w:iCs w:val="0"/>
          <w:sz w:val="24"/>
          <w:szCs w:val="24"/>
        </w:rPr>
        <w:t>Embedding → GRU → Linear</w:t>
      </w:r>
      <w:r>
        <w:rPr>
          <w:rFonts w:ascii="宋体" w:hAnsi="宋体" w:eastAsia="宋体" w:cs="宋体"/>
          <w:b w:val="0"/>
          <w:bCs w:val="0"/>
          <w:i w:val="0"/>
          <w:iCs w:val="0"/>
          <w:sz w:val="24"/>
          <w:szCs w:val="24"/>
        </w:rPr>
        <w:t>），参数量较少，在有限训练轮数内收敛速度更快。</w:t>
      </w:r>
    </w:p>
    <w:p w14:paraId="2D5F4F21">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在</w:t>
      </w:r>
      <w:r>
        <w:rPr>
          <w:rFonts w:ascii="Times New Roman" w:hAnsi="Times New Roman" w:eastAsia="Times New Roman" w:cs="Times New Roman"/>
          <w:b w:val="0"/>
          <w:bCs w:val="0"/>
          <w:i w:val="0"/>
          <w:iCs w:val="0"/>
          <w:sz w:val="24"/>
          <w:szCs w:val="24"/>
        </w:rPr>
        <w:t xml:space="preserve"> NDCG@10 </w:t>
      </w:r>
      <w:r>
        <w:rPr>
          <w:rFonts w:ascii="宋体" w:hAnsi="宋体" w:eastAsia="宋体" w:cs="宋体"/>
          <w:b w:val="0"/>
          <w:bCs w:val="0"/>
          <w:i w:val="0"/>
          <w:iCs w:val="0"/>
          <w:sz w:val="24"/>
          <w:szCs w:val="24"/>
        </w:rPr>
        <w:t>上超过</w:t>
      </w:r>
      <w:r>
        <w:rPr>
          <w:rFonts w:ascii="Times New Roman" w:hAnsi="Times New Roman" w:eastAsia="Times New Roman" w:cs="Times New Roman"/>
          <w:b w:val="0"/>
          <w:bCs w:val="0"/>
          <w:i w:val="0"/>
          <w:iCs w:val="0"/>
          <w:sz w:val="24"/>
          <w:szCs w:val="24"/>
        </w:rPr>
        <w:t xml:space="preserve"> GRU4Rec</w:t>
      </w:r>
      <w:r>
        <w:rPr>
          <w:rFonts w:ascii="宋体" w:hAnsi="宋体" w:eastAsia="宋体" w:cs="宋体"/>
          <w:b w:val="0"/>
          <w:bCs w:val="0"/>
          <w:i w:val="0"/>
          <w:iCs w:val="0"/>
          <w:sz w:val="24"/>
          <w:szCs w:val="24"/>
        </w:rPr>
        <w:t>，说明属性输入端注入机制提升了排序质量：自注意力编码器在每个位置同时看到商品</w:t>
      </w:r>
      <w:r>
        <w:rPr>
          <w:rFonts w:ascii="Times New Roman" w:hAnsi="Times New Roman" w:eastAsia="Times New Roman" w:cs="Times New Roman"/>
          <w:b w:val="0"/>
          <w:bCs w:val="0"/>
          <w:i w:val="0"/>
          <w:iCs w:val="0"/>
          <w:sz w:val="24"/>
          <w:szCs w:val="24"/>
        </w:rPr>
        <w:t xml:space="preserve"> ID </w:t>
      </w:r>
      <w:r>
        <w:rPr>
          <w:rFonts w:ascii="宋体" w:hAnsi="宋体" w:eastAsia="宋体" w:cs="宋体"/>
          <w:b w:val="0"/>
          <w:bCs w:val="0"/>
          <w:i w:val="0"/>
          <w:iCs w:val="0"/>
          <w:sz w:val="24"/>
          <w:szCs w:val="24"/>
        </w:rPr>
        <w:t>向量和属性向量，能更精确地区分相似但不同品类或品牌的商品，使正确命中的商品在推荐列表中排名更靠前。</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在</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上略低于</w:t>
      </w:r>
      <w:r>
        <w:rPr>
          <w:rFonts w:ascii="Times New Roman" w:hAnsi="Times New Roman" w:eastAsia="Times New Roman" w:cs="Times New Roman"/>
          <w:b w:val="0"/>
          <w:bCs w:val="0"/>
          <w:i w:val="0"/>
          <w:iCs w:val="0"/>
          <w:sz w:val="24"/>
          <w:szCs w:val="24"/>
        </w:rPr>
        <w:t xml:space="preserve"> GRU4Rec</w:t>
      </w:r>
      <w:r>
        <w:rPr>
          <w:rFonts w:ascii="宋体" w:hAnsi="宋体" w:eastAsia="宋体" w:cs="宋体"/>
          <w:b w:val="0"/>
          <w:bCs w:val="0"/>
          <w:i w:val="0"/>
          <w:iCs w:val="0"/>
          <w:sz w:val="24"/>
          <w:szCs w:val="24"/>
        </w:rPr>
        <w:t>，原因在于自注意力机制的参数量更大（</w:t>
      </w:r>
      <w:r>
        <w:rPr>
          <w:rFonts w:ascii="Times New Roman" w:hAnsi="Times New Roman" w:eastAsia="Times New Roman" w:cs="Times New Roman"/>
          <w:b w:val="0"/>
          <w:bCs w:val="0"/>
          <w:i w:val="0"/>
          <w:iCs w:val="0"/>
          <w:sz w:val="24"/>
          <w:szCs w:val="24"/>
        </w:rPr>
        <w:t xml:space="preserve">128 </w:t>
      </w:r>
      <w:r>
        <w:rPr>
          <w:rFonts w:ascii="宋体" w:hAnsi="宋体" w:eastAsia="宋体" w:cs="宋体"/>
          <w:b w:val="0"/>
          <w:bCs w:val="0"/>
          <w:i w:val="0"/>
          <w:iCs w:val="0"/>
          <w:sz w:val="24"/>
          <w:szCs w:val="24"/>
        </w:rPr>
        <w:t>维隐层</w:t>
      </w:r>
      <w:r>
        <w:rPr>
          <w:rFonts w:ascii="Times New Roman" w:hAnsi="Times New Roman" w:eastAsia="Times New Roman" w:cs="Times New Roman"/>
          <w:b w:val="0"/>
          <w:bCs w:val="0"/>
          <w:i w:val="0"/>
          <w:iCs w:val="0"/>
          <w:sz w:val="24"/>
          <w:szCs w:val="24"/>
        </w:rPr>
        <w:t xml:space="preserve"> + </w:t>
      </w:r>
      <w:r>
        <w:rPr>
          <w:rFonts w:ascii="宋体" w:hAnsi="宋体" w:eastAsia="宋体" w:cs="宋体"/>
          <w:b w:val="0"/>
          <w:bCs w:val="0"/>
          <w:i w:val="0"/>
          <w:iCs w:val="0"/>
          <w:sz w:val="24"/>
          <w:szCs w:val="24"/>
        </w:rPr>
        <w:t>属性</w:t>
      </w:r>
      <w:r>
        <w:rPr>
          <w:rFonts w:ascii="Times New Roman" w:hAnsi="Times New Roman" w:eastAsia="Times New Roman" w:cs="Times New Roman"/>
          <w:b w:val="0"/>
          <w:bCs w:val="0"/>
          <w:i w:val="0"/>
          <w:iCs w:val="0"/>
          <w:sz w:val="24"/>
          <w:szCs w:val="24"/>
        </w:rPr>
        <w:t xml:space="preserve"> Embedding</w:t>
      </w:r>
      <w:r>
        <w:rPr>
          <w:rFonts w:ascii="宋体" w:hAnsi="宋体" w:eastAsia="宋体" w:cs="宋体"/>
          <w:b w:val="0"/>
          <w:bCs w:val="0"/>
          <w:i w:val="0"/>
          <w:iCs w:val="0"/>
          <w:sz w:val="24"/>
          <w:szCs w:val="24"/>
        </w:rPr>
        <w:t>），在</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轮训练中尚未完全收敛。</w:t>
      </w:r>
    </w:p>
    <w:p w14:paraId="092A3F8B">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以纯共现统计取得基准表现，说明京东购买数据中商品共购模式本身具有较强规律性，但受限于静态统计方法，无法捕捉序列动态和属性语义。</w:t>
      </w:r>
    </w:p>
    <w:p w14:paraId="3B64A182">
      <w:pPr>
        <w:spacing w:before="300" w:after="100" w:line="360" w:lineRule="auto"/>
      </w:pPr>
      <w:r>
        <w:rPr>
          <w:rFonts w:ascii="宋体" w:hAnsi="宋体" w:eastAsia="宋体" w:cs="宋体"/>
          <w:b/>
          <w:bCs/>
          <w:sz w:val="24"/>
          <w:szCs w:val="24"/>
        </w:rPr>
        <w:t>4.4  冷启动场景定量分析</w:t>
      </w:r>
    </w:p>
    <w:p w14:paraId="16CDE792">
      <w:pPr>
        <w:spacing w:before="0" w:after="60" w:line="360" w:lineRule="auto"/>
        <w:ind w:firstLine="480"/>
        <w:jc w:val="both"/>
      </w:pPr>
      <w:r>
        <w:rPr>
          <w:rFonts w:ascii="宋体" w:hAnsi="宋体" w:eastAsia="宋体" w:cs="宋体"/>
          <w:b w:val="0"/>
          <w:bCs w:val="0"/>
          <w:i w:val="0"/>
          <w:iCs w:val="0"/>
          <w:sz w:val="24"/>
          <w:szCs w:val="24"/>
        </w:rPr>
        <w:t>为验证不同序列长度下各模型的推荐能力，将测试用户按训练序列长度划分为三组：短序列（</w:t>
      </w:r>
      <w:r>
        <w:rPr>
          <w:rFonts w:ascii="Times New Roman" w:hAnsi="Times New Roman" w:eastAsia="Times New Roman" w:cs="Times New Roman"/>
          <w:b w:val="0"/>
          <w:bCs w:val="0"/>
          <w:i w:val="0"/>
          <w:iCs w:val="0"/>
          <w:sz w:val="24"/>
          <w:szCs w:val="24"/>
        </w:rPr>
        <w:t xml:space="preserve">≤5 </w:t>
      </w:r>
      <w:r>
        <w:rPr>
          <w:rFonts w:ascii="宋体" w:hAnsi="宋体" w:eastAsia="宋体" w:cs="宋体"/>
          <w:b w:val="0"/>
          <w:bCs w:val="0"/>
          <w:i w:val="0"/>
          <w:iCs w:val="0"/>
          <w:sz w:val="24"/>
          <w:szCs w:val="24"/>
        </w:rPr>
        <w:t>条，</w:t>
      </w:r>
      <w:r>
        <w:rPr>
          <w:rFonts w:ascii="Times New Roman" w:hAnsi="Times New Roman" w:eastAsia="Times New Roman" w:cs="Times New Roman"/>
          <w:b w:val="0"/>
          <w:bCs w:val="0"/>
          <w:i w:val="0"/>
          <w:iCs w:val="0"/>
          <w:sz w:val="24"/>
          <w:szCs w:val="24"/>
        </w:rPr>
        <w:t xml:space="preserve">605 </w:t>
      </w:r>
      <w:r>
        <w:rPr>
          <w:rFonts w:ascii="宋体" w:hAnsi="宋体" w:eastAsia="宋体" w:cs="宋体"/>
          <w:b w:val="0"/>
          <w:bCs w:val="0"/>
          <w:i w:val="0"/>
          <w:iCs w:val="0"/>
          <w:sz w:val="24"/>
          <w:szCs w:val="24"/>
        </w:rPr>
        <w:t>人）、中序列（</w:t>
      </w:r>
      <w:r>
        <w:rPr>
          <w:rFonts w:ascii="Times New Roman" w:hAnsi="Times New Roman" w:eastAsia="Times New Roman" w:cs="Times New Roman"/>
          <w:b w:val="0"/>
          <w:bCs w:val="0"/>
          <w:i w:val="0"/>
          <w:iCs w:val="0"/>
          <w:sz w:val="24"/>
          <w:szCs w:val="24"/>
        </w:rPr>
        <w:t xml:space="preserve">6-15 </w:t>
      </w:r>
      <w:r>
        <w:rPr>
          <w:rFonts w:ascii="宋体" w:hAnsi="宋体" w:eastAsia="宋体" w:cs="宋体"/>
          <w:b w:val="0"/>
          <w:bCs w:val="0"/>
          <w:i w:val="0"/>
          <w:iCs w:val="0"/>
          <w:sz w:val="24"/>
          <w:szCs w:val="24"/>
        </w:rPr>
        <w:t>条，</w:t>
      </w:r>
      <w:r>
        <w:rPr>
          <w:rFonts w:ascii="Times New Roman" w:hAnsi="Times New Roman" w:eastAsia="Times New Roman" w:cs="Times New Roman"/>
          <w:b w:val="0"/>
          <w:bCs w:val="0"/>
          <w:i w:val="0"/>
          <w:iCs w:val="0"/>
          <w:sz w:val="24"/>
          <w:szCs w:val="24"/>
        </w:rPr>
        <w:t xml:space="preserve">1,789 </w:t>
      </w:r>
      <w:r>
        <w:rPr>
          <w:rFonts w:ascii="宋体" w:hAnsi="宋体" w:eastAsia="宋体" w:cs="宋体"/>
          <w:b w:val="0"/>
          <w:bCs w:val="0"/>
          <w:i w:val="0"/>
          <w:iCs w:val="0"/>
          <w:sz w:val="24"/>
          <w:szCs w:val="24"/>
        </w:rPr>
        <w:t>人）和长序列（</w:t>
      </w:r>
      <w:r>
        <w:rPr>
          <w:rFonts w:ascii="Times New Roman" w:hAnsi="Times New Roman" w:eastAsia="Times New Roman" w:cs="Times New Roman"/>
          <w:b w:val="0"/>
          <w:bCs w:val="0"/>
          <w:i w:val="0"/>
          <w:iCs w:val="0"/>
          <w:sz w:val="24"/>
          <w:szCs w:val="24"/>
        </w:rPr>
        <w:t xml:space="preserve">&gt;15 </w:t>
      </w:r>
      <w:r>
        <w:rPr>
          <w:rFonts w:ascii="宋体" w:hAnsi="宋体" w:eastAsia="宋体" w:cs="宋体"/>
          <w:b w:val="0"/>
          <w:bCs w:val="0"/>
          <w:i w:val="0"/>
          <w:iCs w:val="0"/>
          <w:sz w:val="24"/>
          <w:szCs w:val="24"/>
        </w:rPr>
        <w:t>条，</w:t>
      </w:r>
      <w:r>
        <w:rPr>
          <w:rFonts w:ascii="Times New Roman" w:hAnsi="Times New Roman" w:eastAsia="Times New Roman" w:cs="Times New Roman"/>
          <w:b w:val="0"/>
          <w:bCs w:val="0"/>
          <w:i w:val="0"/>
          <w:iCs w:val="0"/>
          <w:sz w:val="24"/>
          <w:szCs w:val="24"/>
        </w:rPr>
        <w:t xml:space="preserve">26,877 </w:t>
      </w:r>
      <w:r>
        <w:rPr>
          <w:rFonts w:ascii="宋体" w:hAnsi="宋体" w:eastAsia="宋体" w:cs="宋体"/>
          <w:b w:val="0"/>
          <w:bCs w:val="0"/>
          <w:i w:val="0"/>
          <w:iCs w:val="0"/>
          <w:sz w:val="24"/>
          <w:szCs w:val="24"/>
        </w:rPr>
        <w:t>人），分别计算</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NDCG@10</w:t>
      </w:r>
      <w:r>
        <w:rPr>
          <w:rFonts w:ascii="宋体" w:hAnsi="宋体" w:eastAsia="宋体" w:cs="宋体"/>
          <w:b w:val="0"/>
          <w:bCs w:val="0"/>
          <w:i w:val="0"/>
          <w:iCs w:val="0"/>
          <w:sz w:val="24"/>
          <w:szCs w:val="24"/>
        </w:rPr>
        <w:t>。结果如表</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和图</w:t>
      </w:r>
      <w:r>
        <w:rPr>
          <w:rFonts w:ascii="Times New Roman" w:hAnsi="Times New Roman" w:eastAsia="Times New Roman" w:cs="Times New Roman"/>
          <w:b w:val="0"/>
          <w:bCs w:val="0"/>
          <w:i w:val="0"/>
          <w:iCs w:val="0"/>
          <w:sz w:val="24"/>
          <w:szCs w:val="24"/>
        </w:rPr>
        <w:t xml:space="preserve"> 4 </w:t>
      </w:r>
      <w:r>
        <w:rPr>
          <w:rFonts w:ascii="宋体" w:hAnsi="宋体" w:eastAsia="宋体" w:cs="宋体"/>
          <w:b w:val="0"/>
          <w:bCs w:val="0"/>
          <w:i w:val="0"/>
          <w:iCs w:val="0"/>
          <w:sz w:val="24"/>
          <w:szCs w:val="24"/>
        </w:rPr>
        <w:t>所示。</w:t>
      </w:r>
    </w:p>
    <w:p w14:paraId="06AE0B49">
      <w:pPr>
        <w:spacing w:before="200" w:after="60"/>
        <w:jc w:val="center"/>
      </w:pPr>
      <w:r>
        <w:rPr>
          <w:rFonts w:ascii="宋体" w:hAnsi="宋体" w:eastAsia="宋体" w:cs="宋体"/>
          <w:sz w:val="21"/>
          <w:szCs w:val="21"/>
        </w:rPr>
        <w:t>表3  冷启动分组评估结果</w:t>
      </w:r>
    </w:p>
    <w:tbl>
      <w:tblPr>
        <w:tblStyle w:val="11"/>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995"/>
        <w:gridCol w:w="2358"/>
        <w:gridCol w:w="2358"/>
        <w:gridCol w:w="2359"/>
      </w:tblGrid>
      <w:tr w14:paraId="7C9B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1AD0F4B8">
            <w:pPr>
              <w:spacing w:line="288" w:lineRule="auto"/>
              <w:jc w:val="center"/>
            </w:pPr>
            <w:r>
              <w:rPr>
                <w:rFonts w:ascii="宋体" w:hAnsi="宋体" w:eastAsia="宋体" w:cs="宋体"/>
                <w:b/>
                <w:bCs/>
                <w:i w:val="0"/>
                <w:iCs w:val="0"/>
                <w:sz w:val="22"/>
                <w:szCs w:val="22"/>
              </w:rPr>
              <w:t>序列长度</w:t>
            </w:r>
          </w:p>
        </w:tc>
        <w:tc>
          <w:tcPr>
            <w:tcW w:w="2358"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01FFAD34">
            <w:pPr>
              <w:spacing w:line="288" w:lineRule="auto"/>
              <w:jc w:val="center"/>
            </w:pPr>
            <w:r>
              <w:rPr>
                <w:rFonts w:ascii="宋体" w:hAnsi="宋体" w:eastAsia="宋体" w:cs="宋体"/>
                <w:b/>
                <w:bCs/>
                <w:i w:val="0"/>
                <w:iCs w:val="0"/>
                <w:sz w:val="22"/>
                <w:szCs w:val="22"/>
              </w:rPr>
              <w:t>模型</w:t>
            </w:r>
          </w:p>
        </w:tc>
        <w:tc>
          <w:tcPr>
            <w:tcW w:w="2358"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3EF6947A">
            <w:pPr>
              <w:spacing w:line="288" w:lineRule="auto"/>
              <w:jc w:val="center"/>
            </w:pPr>
            <w:r>
              <w:rPr>
                <w:rFonts w:ascii="Times New Roman" w:hAnsi="Times New Roman" w:eastAsia="Times New Roman" w:cs="Times New Roman"/>
                <w:b/>
                <w:bCs/>
                <w:i w:val="0"/>
                <w:iCs w:val="0"/>
                <w:sz w:val="22"/>
                <w:szCs w:val="22"/>
              </w:rPr>
              <w:t>Recall@10</w:t>
            </w:r>
          </w:p>
        </w:tc>
        <w:tc>
          <w:tcPr>
            <w:tcW w:w="2359"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17DB6F82">
            <w:pPr>
              <w:spacing w:line="288" w:lineRule="auto"/>
              <w:jc w:val="center"/>
            </w:pPr>
            <w:r>
              <w:rPr>
                <w:rFonts w:ascii="Times New Roman" w:hAnsi="Times New Roman" w:eastAsia="Times New Roman" w:cs="Times New Roman"/>
                <w:b/>
                <w:bCs/>
                <w:i w:val="0"/>
                <w:iCs w:val="0"/>
                <w:sz w:val="22"/>
                <w:szCs w:val="22"/>
              </w:rPr>
              <w:t>NDCG@10</w:t>
            </w:r>
          </w:p>
        </w:tc>
      </w:tr>
      <w:tr w14:paraId="5433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CA4B3EC">
            <w:pPr>
              <w:spacing w:line="288" w:lineRule="auto"/>
              <w:jc w:val="center"/>
            </w:pPr>
            <w:r>
              <w:rPr>
                <w:rFonts w:ascii="Times New Roman" w:hAnsi="Times New Roman" w:eastAsia="Times New Roman" w:cs="Times New Roman"/>
                <w:b w:val="0"/>
                <w:bCs w:val="0"/>
                <w:i w:val="0"/>
                <w:iCs w:val="0"/>
                <w:sz w:val="21"/>
                <w:szCs w:val="21"/>
              </w:rPr>
              <w:t>≤5</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593218D3">
            <w:pPr>
              <w:spacing w:line="288" w:lineRule="auto"/>
              <w:jc w:val="center"/>
            </w:pPr>
            <w:r>
              <w:rPr>
                <w:rFonts w:ascii="Times New Roman" w:hAnsi="Times New Roman" w:eastAsia="Times New Roman" w:cs="Times New Roman"/>
                <w:b w:val="0"/>
                <w:bCs w:val="0"/>
                <w:i w:val="0"/>
                <w:iCs w:val="0"/>
                <w:sz w:val="21"/>
                <w:szCs w:val="21"/>
              </w:rPr>
              <w:t>Item-CF</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1F56AC49">
            <w:pPr>
              <w:spacing w:line="288" w:lineRule="auto"/>
              <w:jc w:val="center"/>
            </w:pPr>
            <w:r>
              <w:rPr>
                <w:rFonts w:ascii="Times New Roman" w:hAnsi="Times New Roman" w:eastAsia="Times New Roman" w:cs="Times New Roman"/>
                <w:b w:val="0"/>
                <w:bCs w:val="0"/>
                <w:i w:val="0"/>
                <w:iCs w:val="0"/>
                <w:sz w:val="21"/>
                <w:szCs w:val="21"/>
              </w:rPr>
              <w:t>0.1256</w:t>
            </w:r>
          </w:p>
        </w:tc>
        <w:tc>
          <w:tcPr>
            <w:tcW w:w="2359"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53BA996A">
            <w:pPr>
              <w:spacing w:line="288" w:lineRule="auto"/>
              <w:jc w:val="center"/>
            </w:pPr>
            <w:r>
              <w:rPr>
                <w:rFonts w:ascii="Times New Roman" w:hAnsi="Times New Roman" w:eastAsia="Times New Roman" w:cs="Times New Roman"/>
                <w:b w:val="0"/>
                <w:bCs w:val="0"/>
                <w:i w:val="0"/>
                <w:iCs w:val="0"/>
                <w:sz w:val="21"/>
                <w:szCs w:val="21"/>
              </w:rPr>
              <w:t>0.0710</w:t>
            </w:r>
          </w:p>
        </w:tc>
      </w:tr>
      <w:tr w14:paraId="05A3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7388108">
            <w:pPr>
              <w:spacing w:line="288" w:lineRule="auto"/>
              <w:jc w:val="center"/>
            </w:pPr>
            <w:r>
              <w:rPr>
                <w:rFonts w:ascii="Times New Roman" w:hAnsi="Times New Roman" w:eastAsia="Times New Roman" w:cs="Times New Roman"/>
                <w:b w:val="0"/>
                <w:bCs w:val="0"/>
                <w:i w:val="0"/>
                <w:iCs w:val="0"/>
                <w:sz w:val="21"/>
                <w:szCs w:val="21"/>
              </w:rPr>
              <w:t>≤5</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0112309">
            <w:pPr>
              <w:spacing w:line="288" w:lineRule="auto"/>
              <w:jc w:val="center"/>
            </w:pPr>
            <w:r>
              <w:rPr>
                <w:rFonts w:ascii="Times New Roman" w:hAnsi="Times New Roman" w:eastAsia="Times New Roman" w:cs="Times New Roman"/>
                <w:b w:val="0"/>
                <w:bCs w:val="0"/>
                <w:i w:val="0"/>
                <w:iCs w:val="0"/>
                <w:sz w:val="21"/>
                <w:szCs w:val="21"/>
              </w:rPr>
              <w:t>GRU4Rec</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4109EC4B">
            <w:pPr>
              <w:spacing w:line="288" w:lineRule="auto"/>
              <w:jc w:val="center"/>
            </w:pPr>
            <w:r>
              <w:rPr>
                <w:rFonts w:ascii="Times New Roman" w:hAnsi="Times New Roman" w:eastAsia="Times New Roman" w:cs="Times New Roman"/>
                <w:b w:val="0"/>
                <w:bCs w:val="0"/>
                <w:i w:val="0"/>
                <w:iCs w:val="0"/>
                <w:sz w:val="21"/>
                <w:szCs w:val="21"/>
              </w:rPr>
              <w:t>0.1289</w:t>
            </w:r>
          </w:p>
        </w:tc>
        <w:tc>
          <w:tcPr>
            <w:tcW w:w="2359"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307F4AA1">
            <w:pPr>
              <w:spacing w:line="288" w:lineRule="auto"/>
              <w:jc w:val="center"/>
            </w:pPr>
            <w:r>
              <w:rPr>
                <w:rFonts w:ascii="Times New Roman" w:hAnsi="Times New Roman" w:eastAsia="Times New Roman" w:cs="Times New Roman"/>
                <w:b w:val="0"/>
                <w:bCs w:val="0"/>
                <w:i w:val="0"/>
                <w:iCs w:val="0"/>
                <w:sz w:val="21"/>
                <w:szCs w:val="21"/>
              </w:rPr>
              <w:t>0.0788</w:t>
            </w:r>
          </w:p>
        </w:tc>
      </w:tr>
      <w:tr w14:paraId="1AC5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8A8E638">
            <w:pPr>
              <w:spacing w:line="288" w:lineRule="auto"/>
              <w:jc w:val="center"/>
            </w:pPr>
            <w:r>
              <w:rPr>
                <w:rFonts w:ascii="Times New Roman" w:hAnsi="Times New Roman" w:eastAsia="Times New Roman" w:cs="Times New Roman"/>
                <w:b w:val="0"/>
                <w:bCs w:val="0"/>
                <w:i w:val="0"/>
                <w:iCs w:val="0"/>
                <w:sz w:val="21"/>
                <w:szCs w:val="21"/>
              </w:rPr>
              <w:t>≤5</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48B6E1AB">
            <w:pPr>
              <w:spacing w:line="288" w:lineRule="auto"/>
              <w:jc w:val="center"/>
            </w:pPr>
            <w:r>
              <w:rPr>
                <w:rFonts w:ascii="Times New Roman" w:hAnsi="Times New Roman" w:eastAsia="Times New Roman" w:cs="Times New Roman"/>
                <w:b w:val="0"/>
                <w:bCs w:val="0"/>
                <w:i w:val="0"/>
                <w:iCs w:val="0"/>
                <w:sz w:val="21"/>
                <w:szCs w:val="21"/>
              </w:rPr>
              <w:t>SASRec+MLP</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FB80E42">
            <w:pPr>
              <w:spacing w:line="288" w:lineRule="auto"/>
              <w:jc w:val="center"/>
            </w:pPr>
            <w:r>
              <w:rPr>
                <w:rFonts w:ascii="Times New Roman" w:hAnsi="Times New Roman" w:eastAsia="Times New Roman" w:cs="Times New Roman"/>
                <w:b w:val="0"/>
                <w:bCs w:val="0"/>
                <w:i w:val="0"/>
                <w:iCs w:val="0"/>
                <w:sz w:val="21"/>
                <w:szCs w:val="21"/>
              </w:rPr>
              <w:t>0.0612</w:t>
            </w:r>
          </w:p>
        </w:tc>
        <w:tc>
          <w:tcPr>
            <w:tcW w:w="2359"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605677B1">
            <w:pPr>
              <w:spacing w:line="288" w:lineRule="auto"/>
              <w:jc w:val="center"/>
            </w:pPr>
            <w:r>
              <w:rPr>
                <w:rFonts w:ascii="Times New Roman" w:hAnsi="Times New Roman" w:eastAsia="Times New Roman" w:cs="Times New Roman"/>
                <w:b w:val="0"/>
                <w:bCs w:val="0"/>
                <w:i w:val="0"/>
                <w:iCs w:val="0"/>
                <w:sz w:val="21"/>
                <w:szCs w:val="21"/>
              </w:rPr>
              <w:t>0.0289</w:t>
            </w:r>
          </w:p>
        </w:tc>
      </w:tr>
      <w:tr w14:paraId="2E99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39146B74">
            <w:pPr>
              <w:spacing w:line="288" w:lineRule="auto"/>
              <w:jc w:val="center"/>
            </w:pPr>
            <w:r>
              <w:rPr>
                <w:rFonts w:ascii="Times New Roman" w:hAnsi="Times New Roman" w:eastAsia="Times New Roman" w:cs="Times New Roman"/>
                <w:b w:val="0"/>
                <w:bCs w:val="0"/>
                <w:i w:val="0"/>
                <w:iCs w:val="0"/>
                <w:sz w:val="21"/>
                <w:szCs w:val="21"/>
              </w:rPr>
              <w:t>6-15</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655B501">
            <w:pPr>
              <w:spacing w:line="288" w:lineRule="auto"/>
              <w:jc w:val="center"/>
            </w:pPr>
            <w:r>
              <w:rPr>
                <w:rFonts w:ascii="Times New Roman" w:hAnsi="Times New Roman" w:eastAsia="Times New Roman" w:cs="Times New Roman"/>
                <w:b w:val="0"/>
                <w:bCs w:val="0"/>
                <w:i w:val="0"/>
                <w:iCs w:val="0"/>
                <w:sz w:val="21"/>
                <w:szCs w:val="21"/>
              </w:rPr>
              <w:t>Item-CF</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60B7A6D">
            <w:pPr>
              <w:spacing w:line="288" w:lineRule="auto"/>
              <w:jc w:val="center"/>
            </w:pPr>
            <w:r>
              <w:rPr>
                <w:rFonts w:ascii="Times New Roman" w:hAnsi="Times New Roman" w:eastAsia="Times New Roman" w:cs="Times New Roman"/>
                <w:b w:val="0"/>
                <w:bCs w:val="0"/>
                <w:i w:val="0"/>
                <w:iCs w:val="0"/>
                <w:sz w:val="21"/>
                <w:szCs w:val="21"/>
              </w:rPr>
              <w:t>0.0665</w:t>
            </w:r>
          </w:p>
        </w:tc>
        <w:tc>
          <w:tcPr>
            <w:tcW w:w="2359"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72ABD90">
            <w:pPr>
              <w:spacing w:line="288" w:lineRule="auto"/>
              <w:jc w:val="center"/>
            </w:pPr>
            <w:r>
              <w:rPr>
                <w:rFonts w:ascii="Times New Roman" w:hAnsi="Times New Roman" w:eastAsia="Times New Roman" w:cs="Times New Roman"/>
                <w:b w:val="0"/>
                <w:bCs w:val="0"/>
                <w:i w:val="0"/>
                <w:iCs w:val="0"/>
                <w:sz w:val="21"/>
                <w:szCs w:val="21"/>
              </w:rPr>
              <w:t>0.0390</w:t>
            </w:r>
          </w:p>
        </w:tc>
      </w:tr>
      <w:tr w14:paraId="1D25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49BE4E3">
            <w:pPr>
              <w:spacing w:line="288" w:lineRule="auto"/>
              <w:jc w:val="center"/>
            </w:pPr>
            <w:r>
              <w:rPr>
                <w:rFonts w:ascii="Times New Roman" w:hAnsi="Times New Roman" w:eastAsia="Times New Roman" w:cs="Times New Roman"/>
                <w:b w:val="0"/>
                <w:bCs w:val="0"/>
                <w:i w:val="0"/>
                <w:iCs w:val="0"/>
                <w:sz w:val="21"/>
                <w:szCs w:val="21"/>
              </w:rPr>
              <w:t>6-15</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A7E6D87">
            <w:pPr>
              <w:spacing w:line="288" w:lineRule="auto"/>
              <w:jc w:val="center"/>
            </w:pPr>
            <w:r>
              <w:rPr>
                <w:rFonts w:ascii="Times New Roman" w:hAnsi="Times New Roman" w:eastAsia="Times New Roman" w:cs="Times New Roman"/>
                <w:b w:val="0"/>
                <w:bCs w:val="0"/>
                <w:i w:val="0"/>
                <w:iCs w:val="0"/>
                <w:sz w:val="21"/>
                <w:szCs w:val="21"/>
              </w:rPr>
              <w:t>GRU4Rec</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5E9B8058">
            <w:pPr>
              <w:spacing w:line="288" w:lineRule="auto"/>
              <w:jc w:val="center"/>
            </w:pPr>
            <w:r>
              <w:rPr>
                <w:rFonts w:ascii="Times New Roman" w:hAnsi="Times New Roman" w:eastAsia="Times New Roman" w:cs="Times New Roman"/>
                <w:b w:val="0"/>
                <w:bCs w:val="0"/>
                <w:i w:val="0"/>
                <w:iCs w:val="0"/>
                <w:sz w:val="21"/>
                <w:szCs w:val="21"/>
              </w:rPr>
              <w:t>0.0743</w:t>
            </w:r>
          </w:p>
        </w:tc>
        <w:tc>
          <w:tcPr>
            <w:tcW w:w="2359"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54EDDC9">
            <w:pPr>
              <w:spacing w:line="288" w:lineRule="auto"/>
              <w:jc w:val="center"/>
            </w:pPr>
            <w:r>
              <w:rPr>
                <w:rFonts w:ascii="Times New Roman" w:hAnsi="Times New Roman" w:eastAsia="Times New Roman" w:cs="Times New Roman"/>
                <w:b w:val="0"/>
                <w:bCs w:val="0"/>
                <w:i w:val="0"/>
                <w:iCs w:val="0"/>
                <w:sz w:val="21"/>
                <w:szCs w:val="21"/>
              </w:rPr>
              <w:t>0.0413</w:t>
            </w:r>
          </w:p>
        </w:tc>
      </w:tr>
      <w:tr w14:paraId="66A6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3056B9B">
            <w:pPr>
              <w:spacing w:line="288" w:lineRule="auto"/>
              <w:jc w:val="center"/>
            </w:pPr>
            <w:r>
              <w:rPr>
                <w:rFonts w:ascii="Times New Roman" w:hAnsi="Times New Roman" w:eastAsia="Times New Roman" w:cs="Times New Roman"/>
                <w:b w:val="0"/>
                <w:bCs w:val="0"/>
                <w:i w:val="0"/>
                <w:iCs w:val="0"/>
                <w:sz w:val="21"/>
                <w:szCs w:val="21"/>
              </w:rPr>
              <w:t>6-15</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94EDA7E">
            <w:pPr>
              <w:spacing w:line="288" w:lineRule="auto"/>
              <w:jc w:val="center"/>
            </w:pPr>
            <w:r>
              <w:rPr>
                <w:rFonts w:ascii="Times New Roman" w:hAnsi="Times New Roman" w:eastAsia="Times New Roman" w:cs="Times New Roman"/>
                <w:b w:val="0"/>
                <w:bCs w:val="0"/>
                <w:i w:val="0"/>
                <w:iCs w:val="0"/>
                <w:sz w:val="21"/>
                <w:szCs w:val="21"/>
              </w:rPr>
              <w:t>SASRec+MLP</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6F6DF298">
            <w:pPr>
              <w:spacing w:line="288" w:lineRule="auto"/>
              <w:jc w:val="center"/>
            </w:pPr>
            <w:r>
              <w:rPr>
                <w:rFonts w:ascii="Times New Roman" w:hAnsi="Times New Roman" w:eastAsia="Times New Roman" w:cs="Times New Roman"/>
                <w:b w:val="0"/>
                <w:bCs w:val="0"/>
                <w:i w:val="0"/>
                <w:iCs w:val="0"/>
                <w:sz w:val="21"/>
                <w:szCs w:val="21"/>
              </w:rPr>
              <w:t>0.0386</w:t>
            </w:r>
          </w:p>
        </w:tc>
        <w:tc>
          <w:tcPr>
            <w:tcW w:w="2359"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17E4702">
            <w:pPr>
              <w:spacing w:line="288" w:lineRule="auto"/>
              <w:jc w:val="center"/>
            </w:pPr>
            <w:r>
              <w:rPr>
                <w:rFonts w:ascii="Times New Roman" w:hAnsi="Times New Roman" w:eastAsia="Times New Roman" w:cs="Times New Roman"/>
                <w:b w:val="0"/>
                <w:bCs w:val="0"/>
                <w:i w:val="0"/>
                <w:iCs w:val="0"/>
                <w:sz w:val="21"/>
                <w:szCs w:val="21"/>
              </w:rPr>
              <w:t>0.0191</w:t>
            </w:r>
          </w:p>
        </w:tc>
      </w:tr>
      <w:tr w14:paraId="2021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70668CC0">
            <w:pPr>
              <w:spacing w:line="288" w:lineRule="auto"/>
              <w:jc w:val="center"/>
            </w:pPr>
            <w:r>
              <w:rPr>
                <w:rFonts w:ascii="Times New Roman" w:hAnsi="Times New Roman" w:eastAsia="Times New Roman" w:cs="Times New Roman"/>
                <w:b w:val="0"/>
                <w:bCs w:val="0"/>
                <w:i w:val="0"/>
                <w:iCs w:val="0"/>
                <w:sz w:val="21"/>
                <w:szCs w:val="21"/>
              </w:rPr>
              <w:t>&gt;15</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4B9E79B2">
            <w:pPr>
              <w:spacing w:line="288" w:lineRule="auto"/>
              <w:jc w:val="center"/>
            </w:pPr>
            <w:r>
              <w:rPr>
                <w:rFonts w:ascii="Times New Roman" w:hAnsi="Times New Roman" w:eastAsia="Times New Roman" w:cs="Times New Roman"/>
                <w:b w:val="0"/>
                <w:bCs w:val="0"/>
                <w:i w:val="0"/>
                <w:iCs w:val="0"/>
                <w:sz w:val="21"/>
                <w:szCs w:val="21"/>
              </w:rPr>
              <w:t>Item-CF</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05B88E5">
            <w:pPr>
              <w:spacing w:line="288" w:lineRule="auto"/>
              <w:jc w:val="center"/>
            </w:pPr>
            <w:r>
              <w:rPr>
                <w:rFonts w:ascii="Times New Roman" w:hAnsi="Times New Roman" w:eastAsia="Times New Roman" w:cs="Times New Roman"/>
                <w:b w:val="0"/>
                <w:bCs w:val="0"/>
                <w:i w:val="0"/>
                <w:iCs w:val="0"/>
                <w:sz w:val="21"/>
                <w:szCs w:val="21"/>
              </w:rPr>
              <w:t>0.0365</w:t>
            </w:r>
          </w:p>
        </w:tc>
        <w:tc>
          <w:tcPr>
            <w:tcW w:w="2359"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63031B84">
            <w:pPr>
              <w:spacing w:line="288" w:lineRule="auto"/>
              <w:jc w:val="center"/>
            </w:pPr>
            <w:r>
              <w:rPr>
                <w:rFonts w:ascii="Times New Roman" w:hAnsi="Times New Roman" w:eastAsia="Times New Roman" w:cs="Times New Roman"/>
                <w:b w:val="0"/>
                <w:bCs w:val="0"/>
                <w:i w:val="0"/>
                <w:iCs w:val="0"/>
                <w:sz w:val="21"/>
                <w:szCs w:val="21"/>
              </w:rPr>
              <w:t>0.0201</w:t>
            </w:r>
          </w:p>
        </w:tc>
      </w:tr>
      <w:tr w14:paraId="7ED2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AD2A507">
            <w:pPr>
              <w:spacing w:line="288" w:lineRule="auto"/>
              <w:jc w:val="center"/>
            </w:pPr>
            <w:r>
              <w:rPr>
                <w:rFonts w:ascii="Times New Roman" w:hAnsi="Times New Roman" w:eastAsia="Times New Roman" w:cs="Times New Roman"/>
                <w:b w:val="0"/>
                <w:bCs w:val="0"/>
                <w:i w:val="0"/>
                <w:iCs w:val="0"/>
                <w:sz w:val="21"/>
                <w:szCs w:val="21"/>
              </w:rPr>
              <w:t>&gt;15</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89428EA">
            <w:pPr>
              <w:spacing w:line="288" w:lineRule="auto"/>
              <w:jc w:val="center"/>
            </w:pPr>
            <w:r>
              <w:rPr>
                <w:rFonts w:ascii="Times New Roman" w:hAnsi="Times New Roman" w:eastAsia="Times New Roman" w:cs="Times New Roman"/>
                <w:b w:val="0"/>
                <w:bCs w:val="0"/>
                <w:i w:val="0"/>
                <w:iCs w:val="0"/>
                <w:sz w:val="21"/>
                <w:szCs w:val="21"/>
              </w:rPr>
              <w:t>GRU4Rec</w:t>
            </w:r>
          </w:p>
        </w:tc>
        <w:tc>
          <w:tcPr>
            <w:tcW w:w="2358"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75C3C24">
            <w:pPr>
              <w:spacing w:line="288" w:lineRule="auto"/>
              <w:jc w:val="center"/>
            </w:pPr>
            <w:r>
              <w:rPr>
                <w:rFonts w:ascii="Times New Roman" w:hAnsi="Times New Roman" w:eastAsia="Times New Roman" w:cs="Times New Roman"/>
                <w:b w:val="0"/>
                <w:bCs w:val="0"/>
                <w:i w:val="0"/>
                <w:iCs w:val="0"/>
                <w:sz w:val="21"/>
                <w:szCs w:val="21"/>
              </w:rPr>
              <w:t>0.0423</w:t>
            </w:r>
          </w:p>
        </w:tc>
        <w:tc>
          <w:tcPr>
            <w:tcW w:w="2359"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AEC4410">
            <w:pPr>
              <w:spacing w:line="288" w:lineRule="auto"/>
              <w:jc w:val="center"/>
            </w:pPr>
            <w:r>
              <w:rPr>
                <w:rFonts w:ascii="Times New Roman" w:hAnsi="Times New Roman" w:eastAsia="Times New Roman" w:cs="Times New Roman"/>
                <w:b w:val="0"/>
                <w:bCs w:val="0"/>
                <w:i w:val="0"/>
                <w:iCs w:val="0"/>
                <w:sz w:val="21"/>
                <w:szCs w:val="21"/>
              </w:rPr>
              <w:t>0.0233</w:t>
            </w:r>
          </w:p>
        </w:tc>
      </w:tr>
      <w:tr w14:paraId="5A49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2A37DD7">
            <w:pPr>
              <w:spacing w:line="288" w:lineRule="auto"/>
              <w:jc w:val="center"/>
            </w:pPr>
            <w:r>
              <w:rPr>
                <w:rFonts w:ascii="Times New Roman" w:hAnsi="Times New Roman" w:eastAsia="Times New Roman" w:cs="Times New Roman"/>
                <w:b w:val="0"/>
                <w:bCs w:val="0"/>
                <w:i w:val="0"/>
                <w:iCs w:val="0"/>
                <w:sz w:val="21"/>
                <w:szCs w:val="21"/>
              </w:rPr>
              <w:t>&gt;15</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136C5DF2">
            <w:pPr>
              <w:spacing w:line="288" w:lineRule="auto"/>
              <w:jc w:val="center"/>
            </w:pPr>
            <w:r>
              <w:rPr>
                <w:rFonts w:ascii="Times New Roman" w:hAnsi="Times New Roman" w:eastAsia="Times New Roman" w:cs="Times New Roman"/>
                <w:b w:val="0"/>
                <w:bCs w:val="0"/>
                <w:i w:val="0"/>
                <w:iCs w:val="0"/>
                <w:sz w:val="21"/>
                <w:szCs w:val="21"/>
              </w:rPr>
              <w:t>SASRec+MLP</w:t>
            </w:r>
          </w:p>
        </w:tc>
        <w:tc>
          <w:tcPr>
            <w:tcW w:w="2358"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9D04F44">
            <w:pPr>
              <w:spacing w:line="288" w:lineRule="auto"/>
              <w:jc w:val="center"/>
            </w:pPr>
            <w:r>
              <w:rPr>
                <w:rFonts w:ascii="Times New Roman" w:hAnsi="Times New Roman" w:eastAsia="Times New Roman" w:cs="Times New Roman"/>
                <w:b w:val="0"/>
                <w:bCs w:val="0"/>
                <w:i w:val="0"/>
                <w:iCs w:val="0"/>
                <w:sz w:val="21"/>
                <w:szCs w:val="21"/>
              </w:rPr>
              <w:t>0.0404</w:t>
            </w:r>
          </w:p>
        </w:tc>
        <w:tc>
          <w:tcPr>
            <w:tcW w:w="2359"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664E8E8B">
            <w:pPr>
              <w:spacing w:line="288" w:lineRule="auto"/>
              <w:jc w:val="center"/>
            </w:pPr>
            <w:r>
              <w:rPr>
                <w:rFonts w:ascii="Times New Roman" w:hAnsi="Times New Roman" w:eastAsia="Times New Roman" w:cs="Times New Roman"/>
                <w:b w:val="0"/>
                <w:bCs w:val="0"/>
                <w:i w:val="0"/>
                <w:iCs w:val="0"/>
                <w:sz w:val="21"/>
                <w:szCs w:val="21"/>
              </w:rPr>
              <w:t>0.0228</w:t>
            </w:r>
          </w:p>
        </w:tc>
      </w:tr>
    </w:tbl>
    <w:p w14:paraId="3BBB5ABA">
      <w:pPr>
        <w:spacing w:before="0" w:after="0"/>
      </w:pPr>
    </w:p>
    <w:p w14:paraId="0697F3E8">
      <w:pPr>
        <w:spacing w:before="120" w:after="60"/>
        <w:jc w:val="center"/>
      </w:pPr>
      <w:r>
        <w:drawing>
          <wp:inline distT="0" distB="0" distL="0" distR="0">
            <wp:extent cx="5334000" cy="2286000"/>
            <wp:effectExtent l="0" t="0" r="0" b="0"/>
            <wp:docPr id="4" name="cold_start_analysis" descr="cold_start_analysis" title="cold_start_analy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ld_start_analysis" descr="cold_start_analysis" title="cold_start_analysis"/>
                    <pic:cNvPicPr>
                      <a:picLocks noChangeAspect="1" noChangeArrowheads="1"/>
                    </pic:cNvPicPr>
                  </pic:nvPicPr>
                  <pic:blipFill>
                    <a:blip r:embed="rId8"/>
                    <a:srcRect/>
                    <a:stretch>
                      <a:fillRect/>
                    </a:stretch>
                  </pic:blipFill>
                  <pic:spPr>
                    <a:xfrm>
                      <a:off x="0" y="0"/>
                      <a:ext cx="5334000" cy="2286000"/>
                    </a:xfrm>
                    <a:prstGeom prst="rect">
                      <a:avLst/>
                    </a:prstGeom>
                  </pic:spPr>
                </pic:pic>
              </a:graphicData>
            </a:graphic>
          </wp:inline>
        </w:drawing>
      </w:r>
    </w:p>
    <w:p w14:paraId="58D54356">
      <w:pPr>
        <w:spacing w:before="0" w:after="200"/>
        <w:jc w:val="center"/>
      </w:pPr>
      <w:r>
        <w:rPr>
          <w:rFonts w:ascii="宋体" w:hAnsi="宋体" w:eastAsia="宋体" w:cs="宋体"/>
          <w:sz w:val="21"/>
          <w:szCs w:val="21"/>
        </w:rPr>
        <w:t>图4  冷启动分组对比（按训练序列长度分组）</w:t>
      </w:r>
    </w:p>
    <w:p w14:paraId="4C6B4D73">
      <w:pPr>
        <w:spacing w:before="0" w:after="60" w:line="360" w:lineRule="auto"/>
        <w:ind w:firstLine="480"/>
        <w:jc w:val="both"/>
      </w:pPr>
      <w:r>
        <w:rPr>
          <w:rFonts w:ascii="宋体" w:hAnsi="宋体" w:eastAsia="宋体" w:cs="宋体"/>
          <w:b w:val="0"/>
          <w:bCs w:val="0"/>
          <w:i w:val="0"/>
          <w:iCs w:val="0"/>
          <w:sz w:val="24"/>
          <w:szCs w:val="24"/>
        </w:rPr>
        <w:t>从表</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可以看出，三个模型在短序列组（</w:t>
      </w:r>
      <w:r>
        <w:rPr>
          <w:rFonts w:ascii="Times New Roman" w:hAnsi="Times New Roman" w:eastAsia="Times New Roman" w:cs="Times New Roman"/>
          <w:b w:val="0"/>
          <w:bCs w:val="0"/>
          <w:i w:val="0"/>
          <w:iCs w:val="0"/>
          <w:sz w:val="24"/>
          <w:szCs w:val="24"/>
        </w:rPr>
        <w:t>≤5</w:t>
      </w:r>
      <w:r>
        <w:rPr>
          <w:rFonts w:ascii="宋体" w:hAnsi="宋体" w:eastAsia="宋体" w:cs="宋体"/>
          <w:b w:val="0"/>
          <w:bCs w:val="0"/>
          <w:i w:val="0"/>
          <w:iCs w:val="0"/>
          <w:sz w:val="24"/>
          <w:szCs w:val="24"/>
        </w:rPr>
        <w:t>）上的绝对指标均高于长序列组（</w:t>
      </w:r>
      <w:r>
        <w:rPr>
          <w:rFonts w:ascii="Times New Roman" w:hAnsi="Times New Roman" w:eastAsia="Times New Roman" w:cs="Times New Roman"/>
          <w:b w:val="0"/>
          <w:bCs w:val="0"/>
          <w:i w:val="0"/>
          <w:iCs w:val="0"/>
          <w:sz w:val="24"/>
          <w:szCs w:val="24"/>
        </w:rPr>
        <w:t>&gt;15</w:t>
      </w:r>
      <w:r>
        <w:rPr>
          <w:rFonts w:ascii="宋体" w:hAnsi="宋体" w:eastAsia="宋体" w:cs="宋体"/>
          <w:b w:val="0"/>
          <w:bCs w:val="0"/>
          <w:i w:val="0"/>
          <w:iCs w:val="0"/>
          <w:sz w:val="24"/>
          <w:szCs w:val="24"/>
        </w:rPr>
        <w:t>），这是因为交互记录极少的用户往往兴趣集中在少数品类，预测难度相对较低。关键发现在于模型间的相对差距随序列长度增加而缩小：在短序列组中，</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的</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仅为</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的</w:t>
      </w:r>
      <w:r>
        <w:rPr>
          <w:rFonts w:ascii="Times New Roman" w:hAnsi="Times New Roman" w:eastAsia="Times New Roman" w:cs="Times New Roman"/>
          <w:b w:val="0"/>
          <w:bCs w:val="0"/>
          <w:i w:val="0"/>
          <w:iCs w:val="0"/>
          <w:sz w:val="24"/>
          <w:szCs w:val="24"/>
        </w:rPr>
        <w:t xml:space="preserve"> 47.5%</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0.0612 vs 0.1289</w:t>
      </w:r>
      <w:r>
        <w:rPr>
          <w:rFonts w:ascii="宋体" w:hAnsi="宋体" w:eastAsia="宋体" w:cs="宋体"/>
          <w:b w:val="0"/>
          <w:bCs w:val="0"/>
          <w:i w:val="0"/>
          <w:iCs w:val="0"/>
          <w:sz w:val="24"/>
          <w:szCs w:val="24"/>
        </w:rPr>
        <w:t>）；而在长序列组中，这一比例上升至</w:t>
      </w:r>
      <w:r>
        <w:rPr>
          <w:rFonts w:ascii="Times New Roman" w:hAnsi="Times New Roman" w:eastAsia="Times New Roman" w:cs="Times New Roman"/>
          <w:b w:val="0"/>
          <w:bCs w:val="0"/>
          <w:i w:val="0"/>
          <w:iCs w:val="0"/>
          <w:sz w:val="24"/>
          <w:szCs w:val="24"/>
        </w:rPr>
        <w:t xml:space="preserve"> 95.5%</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0.0404 vs 0.0423</w:t>
      </w:r>
      <w:r>
        <w:rPr>
          <w:rFonts w:ascii="宋体" w:hAnsi="宋体" w:eastAsia="宋体" w:cs="宋体"/>
          <w:b w:val="0"/>
          <w:bCs w:val="0"/>
          <w:i w:val="0"/>
          <w:iCs w:val="0"/>
          <w:sz w:val="24"/>
          <w:szCs w:val="24"/>
        </w:rPr>
        <w:t>），两者几乎持平。</w:t>
      </w:r>
    </w:p>
    <w:p w14:paraId="3D09C4DE">
      <w:pPr>
        <w:spacing w:before="0" w:after="60" w:line="360" w:lineRule="auto"/>
        <w:ind w:firstLine="480"/>
        <w:jc w:val="both"/>
      </w:pPr>
      <w:r>
        <w:rPr>
          <w:rFonts w:ascii="宋体" w:hAnsi="宋体" w:eastAsia="宋体" w:cs="宋体"/>
          <w:b w:val="0"/>
          <w:bCs w:val="0"/>
          <w:i w:val="0"/>
          <w:iCs w:val="0"/>
          <w:sz w:val="24"/>
          <w:szCs w:val="24"/>
        </w:rPr>
        <w:t>这一趋势表明，</w:t>
      </w:r>
      <w:r>
        <w:rPr>
          <w:rFonts w:ascii="Times New Roman" w:hAnsi="Times New Roman" w:eastAsia="Times New Roman" w:cs="Times New Roman"/>
          <w:b w:val="0"/>
          <w:bCs w:val="0"/>
          <w:i w:val="0"/>
          <w:iCs w:val="0"/>
          <w:sz w:val="24"/>
          <w:szCs w:val="24"/>
        </w:rPr>
        <w:t xml:space="preserve">SASRec </w:t>
      </w:r>
      <w:r>
        <w:rPr>
          <w:rFonts w:ascii="宋体" w:hAnsi="宋体" w:eastAsia="宋体" w:cs="宋体"/>
          <w:b w:val="0"/>
          <w:bCs w:val="0"/>
          <w:i w:val="0"/>
          <w:iCs w:val="0"/>
          <w:sz w:val="24"/>
          <w:szCs w:val="24"/>
        </w:rPr>
        <w:t>的自注意力机制在序列较长时能更充分地利用历史信息建模用户兴趣演化，而在短序列下受限于可用位置数不足，注意力无法有效聚焦。</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在短序列组上的优势则来源于各自的归纳偏置：</w:t>
      </w:r>
      <w:r>
        <w:rPr>
          <w:rFonts w:ascii="Times New Roman" w:hAnsi="Times New Roman" w:eastAsia="Times New Roman" w:cs="Times New Roman"/>
          <w:b w:val="0"/>
          <w:bCs w:val="0"/>
          <w:i w:val="0"/>
          <w:iCs w:val="0"/>
          <w:sz w:val="24"/>
          <w:szCs w:val="24"/>
        </w:rPr>
        <w:t xml:space="preserve">GRU </w:t>
      </w:r>
      <w:r>
        <w:rPr>
          <w:rFonts w:ascii="宋体" w:hAnsi="宋体" w:eastAsia="宋体" w:cs="宋体"/>
          <w:b w:val="0"/>
          <w:bCs w:val="0"/>
          <w:i w:val="0"/>
          <w:iCs w:val="0"/>
          <w:sz w:val="24"/>
          <w:szCs w:val="24"/>
        </w:rPr>
        <w:t>的循环状态即使在极短输入下仍能产生稳定输出，</w:t>
      </w: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的共现统计不依赖序列长度。综合来看，三个模型均未针对冷启动进行专项设计，引入预训练商品内容编码器或用户画像侧信息是进一步改善冷启动效果的可行方向。</w:t>
      </w:r>
    </w:p>
    <w:p w14:paraId="129F93A6">
      <w:r>
        <w:br w:type="page"/>
      </w:r>
    </w:p>
    <w:p w14:paraId="4AE1A3ED">
      <w:pPr>
        <w:spacing w:before="480" w:after="200" w:line="360" w:lineRule="auto"/>
      </w:pPr>
      <w:r>
        <w:rPr>
          <w:rFonts w:ascii="宋体" w:hAnsi="宋体" w:eastAsia="宋体" w:cs="宋体"/>
          <w:b/>
          <w:bCs/>
          <w:sz w:val="28"/>
          <w:szCs w:val="28"/>
        </w:rPr>
        <w:t>五、可解释性与前端展示</w:t>
      </w:r>
    </w:p>
    <w:p w14:paraId="7F9FF25A">
      <w:pPr>
        <w:spacing w:before="0" w:after="60" w:line="360" w:lineRule="auto"/>
        <w:ind w:firstLine="480"/>
        <w:jc w:val="both"/>
      </w:pPr>
      <w:r>
        <w:rPr>
          <w:rFonts w:ascii="宋体" w:hAnsi="宋体" w:eastAsia="宋体" w:cs="宋体"/>
          <w:b w:val="0"/>
          <w:bCs w:val="0"/>
          <w:i w:val="0"/>
          <w:iCs w:val="0"/>
          <w:sz w:val="24"/>
          <w:szCs w:val="24"/>
        </w:rPr>
        <w:t>本系统的推荐理由直接来源于</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最后一层自注意力矩阵，体现模型内部的真实决策依据，而非事后的规则统计。具体做法如下：训练完成后，在推理阶段调用</w:t>
      </w:r>
      <w:r>
        <w:rPr>
          <w:rFonts w:ascii="Times New Roman" w:hAnsi="Times New Roman" w:eastAsia="Times New Roman" w:cs="Times New Roman"/>
          <w:b w:val="0"/>
          <w:bCs w:val="0"/>
          <w:i w:val="0"/>
          <w:iCs w:val="0"/>
          <w:sz w:val="24"/>
          <w:szCs w:val="24"/>
        </w:rPr>
        <w:t xml:space="preserve"> get_user_repr_with_attn() </w:t>
      </w:r>
      <w:r>
        <w:rPr>
          <w:rFonts w:ascii="宋体" w:hAnsi="宋体" w:eastAsia="宋体" w:cs="宋体"/>
          <w:b w:val="0"/>
          <w:bCs w:val="0"/>
          <w:i w:val="0"/>
          <w:iCs w:val="0"/>
          <w:sz w:val="24"/>
          <w:szCs w:val="24"/>
        </w:rPr>
        <w:t>接口，提取最后一层</w:t>
      </w:r>
      <w:r>
        <w:rPr>
          <w:rFonts w:ascii="Times New Roman" w:hAnsi="Times New Roman" w:eastAsia="Times New Roman" w:cs="Times New Roman"/>
          <w:b w:val="0"/>
          <w:bCs w:val="0"/>
          <w:i w:val="0"/>
          <w:iCs w:val="0"/>
          <w:sz w:val="24"/>
          <w:szCs w:val="24"/>
        </w:rPr>
        <w:t xml:space="preserve"> Self-Attention </w:t>
      </w:r>
      <w:r>
        <w:rPr>
          <w:rFonts w:ascii="宋体" w:hAnsi="宋体" w:eastAsia="宋体" w:cs="宋体"/>
          <w:b w:val="0"/>
          <w:bCs w:val="0"/>
          <w:i w:val="0"/>
          <w:iCs w:val="0"/>
          <w:sz w:val="24"/>
          <w:szCs w:val="24"/>
        </w:rPr>
        <w:t>中「序列最后有效位置」对历史各位置的注意力权重向量（形状为</w:t>
      </w:r>
      <w:r>
        <w:rPr>
          <w:rFonts w:ascii="Times New Roman" w:hAnsi="Times New Roman" w:eastAsia="Times New Roman" w:cs="Times New Roman"/>
          <w:b w:val="0"/>
          <w:bCs w:val="0"/>
          <w:i w:val="0"/>
          <w:iCs w:val="0"/>
          <w:sz w:val="24"/>
          <w:szCs w:val="24"/>
        </w:rPr>
        <w:t xml:space="preserve"> (1, L)</w:t>
      </w:r>
      <w:r>
        <w:rPr>
          <w:rFonts w:ascii="宋体" w:hAnsi="宋体" w:eastAsia="宋体" w:cs="宋体"/>
          <w:b w:val="0"/>
          <w:bCs w:val="0"/>
          <w:i w:val="0"/>
          <w:iCs w:val="0"/>
          <w:sz w:val="24"/>
          <w:szCs w:val="24"/>
        </w:rPr>
        <w:t>）；该向量的第</w:t>
      </w:r>
      <w:r>
        <w:rPr>
          <w:rFonts w:ascii="Times New Roman" w:hAnsi="Times New Roman" w:eastAsia="Times New Roman" w:cs="Times New Roman"/>
          <w:b w:val="0"/>
          <w:bCs w:val="0"/>
          <w:i w:val="0"/>
          <w:iCs w:val="0"/>
          <w:sz w:val="24"/>
          <w:szCs w:val="24"/>
        </w:rPr>
        <w:t xml:space="preserve"> i </w:t>
      </w:r>
      <w:r>
        <w:rPr>
          <w:rFonts w:ascii="宋体" w:hAnsi="宋体" w:eastAsia="宋体" w:cs="宋体"/>
          <w:b w:val="0"/>
          <w:bCs w:val="0"/>
          <w:i w:val="0"/>
          <w:iCs w:val="0"/>
          <w:sz w:val="24"/>
          <w:szCs w:val="24"/>
        </w:rPr>
        <w:t>个元素表示模型在生成当前用户表征时，对第</w:t>
      </w:r>
      <w:r>
        <w:rPr>
          <w:rFonts w:ascii="Times New Roman" w:hAnsi="Times New Roman" w:eastAsia="Times New Roman" w:cs="Times New Roman"/>
          <w:b w:val="0"/>
          <w:bCs w:val="0"/>
          <w:i w:val="0"/>
          <w:iCs w:val="0"/>
          <w:sz w:val="24"/>
          <w:szCs w:val="24"/>
        </w:rPr>
        <w:t xml:space="preserve"> i </w:t>
      </w:r>
      <w:r>
        <w:rPr>
          <w:rFonts w:ascii="宋体" w:hAnsi="宋体" w:eastAsia="宋体" w:cs="宋体"/>
          <w:b w:val="0"/>
          <w:bCs w:val="0"/>
          <w:i w:val="0"/>
          <w:iCs w:val="0"/>
          <w:sz w:val="24"/>
          <w:szCs w:val="24"/>
        </w:rPr>
        <w:t>个历史商品的关注程度。找出权重最大的历史商品后，若推荐结果与该商品同品牌，则说明「品牌偏好被模型捕捉」；若同品类，则说明「品类兴趣被模型捕捉」；同时在推荐理由中展示具体权重数值（如</w:t>
      </w:r>
      <w:r>
        <w:rPr>
          <w:rFonts w:ascii="Times New Roman" w:hAnsi="Times New Roman" w:eastAsia="Times New Roman" w:cs="Times New Roman"/>
          <w:b w:val="0"/>
          <w:bCs w:val="0"/>
          <w:i w:val="0"/>
          <w:iCs w:val="0"/>
          <w:sz w:val="24"/>
          <w:szCs w:val="24"/>
        </w:rPr>
        <w:t xml:space="preserve"> 0.38</w:t>
      </w:r>
      <w:r>
        <w:rPr>
          <w:rFonts w:ascii="宋体" w:hAnsi="宋体" w:eastAsia="宋体" w:cs="宋体"/>
          <w:b w:val="0"/>
          <w:bCs w:val="0"/>
          <w:i w:val="0"/>
          <w:iCs w:val="0"/>
          <w:sz w:val="24"/>
          <w:szCs w:val="24"/>
        </w:rPr>
        <w:t>），使解释可量化、可验证。</w:t>
      </w:r>
    </w:p>
    <w:p w14:paraId="56CE3E3F">
      <w:pPr>
        <w:spacing w:before="0" w:after="60" w:line="360" w:lineRule="auto"/>
        <w:ind w:firstLine="480"/>
        <w:jc w:val="both"/>
      </w:pPr>
      <w:r>
        <w:rPr>
          <w:rFonts w:ascii="宋体" w:hAnsi="宋体" w:eastAsia="宋体" w:cs="宋体"/>
          <w:b w:val="0"/>
          <w:bCs w:val="0"/>
          <w:i w:val="0"/>
          <w:iCs w:val="0"/>
          <w:sz w:val="24"/>
          <w:szCs w:val="24"/>
        </w:rPr>
        <w:t>如图</w:t>
      </w:r>
      <w:r>
        <w:rPr>
          <w:rFonts w:ascii="Times New Roman" w:hAnsi="Times New Roman" w:eastAsia="Times New Roman" w:cs="Times New Roman"/>
          <w:b w:val="0"/>
          <w:bCs w:val="0"/>
          <w:i w:val="0"/>
          <w:iCs w:val="0"/>
          <w:sz w:val="24"/>
          <w:szCs w:val="24"/>
        </w:rPr>
        <w:t xml:space="preserve"> 5 </w:t>
      </w:r>
      <w:r>
        <w:rPr>
          <w:rFonts w:ascii="宋体" w:hAnsi="宋体" w:eastAsia="宋体" w:cs="宋体"/>
          <w:b w:val="0"/>
          <w:bCs w:val="0"/>
          <w:i w:val="0"/>
          <w:iCs w:val="0"/>
          <w:sz w:val="24"/>
          <w:szCs w:val="24"/>
        </w:rPr>
        <w:t>所示，用户</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的历史交互商品均属于手机品类且多次出现品牌</w:t>
      </w:r>
      <w:r>
        <w:rPr>
          <w:rFonts w:ascii="Times New Roman" w:hAnsi="Times New Roman" w:eastAsia="Times New Roman" w:cs="Times New Roman"/>
          <w:b w:val="0"/>
          <w:bCs w:val="0"/>
          <w:i w:val="0"/>
          <w:iCs w:val="0"/>
          <w:sz w:val="24"/>
          <w:szCs w:val="24"/>
        </w:rPr>
        <w:t xml:space="preserve"> 214</w:t>
      </w:r>
      <w:r>
        <w:rPr>
          <w:rFonts w:ascii="宋体" w:hAnsi="宋体" w:eastAsia="宋体" w:cs="宋体"/>
          <w:b w:val="0"/>
          <w:bCs w:val="0"/>
          <w:i w:val="0"/>
          <w:iCs w:val="0"/>
          <w:sz w:val="24"/>
          <w:szCs w:val="24"/>
        </w:rPr>
        <w:t>，模型的注意力权重集中在该品牌的商品上，推荐理由标注了注意力权重最高的历史商品及其与推荐结果的品牌</w:t>
      </w:r>
      <w:r>
        <w:rPr>
          <w:rFonts w:ascii="Times New Roman" w:hAnsi="Times New Roman" w:eastAsia="Times New Roman" w:cs="Times New Roman"/>
          <w:b w:val="0"/>
          <w:bCs w:val="0"/>
          <w:i w:val="0"/>
          <w:iCs w:val="0"/>
          <w:sz w:val="24"/>
          <w:szCs w:val="24"/>
        </w:rPr>
        <w:t xml:space="preserve"> / </w:t>
      </w:r>
      <w:r>
        <w:rPr>
          <w:rFonts w:ascii="宋体" w:hAnsi="宋体" w:eastAsia="宋体" w:cs="宋体"/>
          <w:b w:val="0"/>
          <w:bCs w:val="0"/>
          <w:i w:val="0"/>
          <w:iCs w:val="0"/>
          <w:sz w:val="24"/>
          <w:szCs w:val="24"/>
        </w:rPr>
        <w:t>品类对应关系。</w:t>
      </w:r>
    </w:p>
    <w:p w14:paraId="3D755B37">
      <w:pPr>
        <w:spacing w:before="0" w:after="200"/>
        <w:jc w:val="center"/>
      </w:pPr>
      <w:r>
        <w:drawing>
          <wp:inline distT="0" distB="0" distL="114300" distR="114300">
            <wp:extent cx="5751830" cy="2380615"/>
            <wp:effectExtent l="0" t="0" r="1270" b="6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5751830" cy="2380615"/>
                    </a:xfrm>
                    <a:prstGeom prst="rect">
                      <a:avLst/>
                    </a:prstGeom>
                    <a:noFill/>
                    <a:ln>
                      <a:noFill/>
                    </a:ln>
                  </pic:spPr>
                </pic:pic>
              </a:graphicData>
            </a:graphic>
          </wp:inline>
        </w:drawing>
      </w:r>
      <w:r>
        <w:rPr>
          <w:rFonts w:ascii="宋体" w:hAnsi="宋体" w:eastAsia="宋体" w:cs="宋体"/>
          <w:sz w:val="21"/>
          <w:szCs w:val="21"/>
        </w:rPr>
        <w:t>图5  用户 1 的 Top-10 推荐结果（品牌与品类双重匹配）</w:t>
      </w:r>
    </w:p>
    <w:p w14:paraId="790B5A70">
      <w:pPr>
        <w:spacing w:before="0" w:after="60" w:line="360" w:lineRule="auto"/>
        <w:ind w:firstLine="480"/>
        <w:jc w:val="both"/>
      </w:pPr>
      <w:r>
        <w:rPr>
          <w:rFonts w:ascii="宋体" w:hAnsi="宋体" w:eastAsia="宋体" w:cs="宋体"/>
          <w:b w:val="0"/>
          <w:bCs w:val="0"/>
          <w:i w:val="0"/>
          <w:iCs w:val="0"/>
          <w:sz w:val="24"/>
          <w:szCs w:val="24"/>
        </w:rPr>
        <w:t>如图</w:t>
      </w:r>
      <w:r>
        <w:rPr>
          <w:rFonts w:ascii="Times New Roman" w:hAnsi="Times New Roman" w:eastAsia="Times New Roman" w:cs="Times New Roman"/>
          <w:b w:val="0"/>
          <w:bCs w:val="0"/>
          <w:i w:val="0"/>
          <w:iCs w:val="0"/>
          <w:sz w:val="24"/>
          <w:szCs w:val="24"/>
        </w:rPr>
        <w:t xml:space="preserve"> 6 </w:t>
      </w:r>
      <w:r>
        <w:rPr>
          <w:rFonts w:ascii="宋体" w:hAnsi="宋体" w:eastAsia="宋体" w:cs="宋体"/>
          <w:b w:val="0"/>
          <w:bCs w:val="0"/>
          <w:i w:val="0"/>
          <w:iCs w:val="0"/>
          <w:sz w:val="24"/>
          <w:szCs w:val="24"/>
        </w:rPr>
        <w:t>所示，用户</w:t>
      </w:r>
      <w:r>
        <w:rPr>
          <w:rFonts w:ascii="Times New Roman" w:hAnsi="Times New Roman" w:eastAsia="Times New Roman" w:cs="Times New Roman"/>
          <w:b w:val="0"/>
          <w:bCs w:val="0"/>
          <w:i w:val="0"/>
          <w:iCs w:val="0"/>
          <w:sz w:val="24"/>
          <w:szCs w:val="24"/>
        </w:rPr>
        <w:t xml:space="preserve"> 6 </w:t>
      </w:r>
      <w:r>
        <w:rPr>
          <w:rFonts w:ascii="宋体" w:hAnsi="宋体" w:eastAsia="宋体" w:cs="宋体"/>
          <w:b w:val="0"/>
          <w:bCs w:val="0"/>
          <w:i w:val="0"/>
          <w:iCs w:val="0"/>
          <w:sz w:val="24"/>
          <w:szCs w:val="24"/>
        </w:rPr>
        <w:t>的历史序列中多次出现品牌</w:t>
      </w:r>
      <w:r>
        <w:rPr>
          <w:rFonts w:ascii="Times New Roman" w:hAnsi="Times New Roman" w:eastAsia="Times New Roman" w:cs="Times New Roman"/>
          <w:b w:val="0"/>
          <w:bCs w:val="0"/>
          <w:i w:val="0"/>
          <w:iCs w:val="0"/>
          <w:sz w:val="24"/>
          <w:szCs w:val="24"/>
        </w:rPr>
        <w:t xml:space="preserve"> 545 </w:t>
      </w:r>
      <w:r>
        <w:rPr>
          <w:rFonts w:ascii="宋体" w:hAnsi="宋体" w:eastAsia="宋体" w:cs="宋体"/>
          <w:b w:val="0"/>
          <w:bCs w:val="0"/>
          <w:i w:val="0"/>
          <w:iCs w:val="0"/>
          <w:sz w:val="24"/>
          <w:szCs w:val="24"/>
        </w:rPr>
        <w:t>的商品，系统在推荐理由中明确指出品牌匹配，推荐结果集中在该品牌的手机类商品。</w:t>
      </w:r>
      <w:bookmarkStart w:id="0" w:name="_GoBack"/>
      <w:bookmarkEnd w:id="0"/>
    </w:p>
    <w:p w14:paraId="21F4076C">
      <w:pPr>
        <w:spacing w:before="0" w:after="200"/>
        <w:jc w:val="center"/>
      </w:pPr>
      <w:r>
        <w:drawing>
          <wp:inline distT="0" distB="0" distL="114300" distR="114300">
            <wp:extent cx="5751195" cy="2314575"/>
            <wp:effectExtent l="0" t="0" r="190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stretch>
                      <a:fillRect/>
                    </a:stretch>
                  </pic:blipFill>
                  <pic:spPr>
                    <a:xfrm>
                      <a:off x="0" y="0"/>
                      <a:ext cx="5751195" cy="2314575"/>
                    </a:xfrm>
                    <a:prstGeom prst="rect">
                      <a:avLst/>
                    </a:prstGeom>
                    <a:noFill/>
                    <a:ln>
                      <a:noFill/>
                    </a:ln>
                  </pic:spPr>
                </pic:pic>
              </a:graphicData>
            </a:graphic>
          </wp:inline>
        </w:drawing>
      </w:r>
      <w:r>
        <w:rPr>
          <w:rFonts w:ascii="宋体" w:hAnsi="宋体" w:eastAsia="宋体" w:cs="宋体"/>
          <w:sz w:val="21"/>
          <w:szCs w:val="21"/>
        </w:rPr>
        <w:t>图6  用户 6 的 Top-10 推荐结果（品牌与品类双重匹配）</w:t>
      </w:r>
    </w:p>
    <w:p w14:paraId="46651C6C">
      <w:pPr>
        <w:spacing w:before="0" w:after="60" w:line="360" w:lineRule="auto"/>
        <w:ind w:firstLine="480"/>
        <w:jc w:val="both"/>
      </w:pPr>
      <w:r>
        <w:rPr>
          <w:rFonts w:ascii="宋体" w:hAnsi="宋体" w:eastAsia="宋体" w:cs="宋体"/>
          <w:b w:val="0"/>
          <w:bCs w:val="0"/>
          <w:i w:val="0"/>
          <w:iCs w:val="0"/>
          <w:sz w:val="24"/>
          <w:szCs w:val="24"/>
        </w:rPr>
        <w:t>前端展示采用纯</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静态页面实现，无需服务器，在本地浏览器中直接打开即可查看。页面采用卡片式布局，每位用户的推荐结果以独立卡片呈现，包含最近交互商品、推荐列表及各商品的推荐理由，整体配色参照京东品牌主色调。</w:t>
      </w:r>
    </w:p>
    <w:p w14:paraId="6EAF2036">
      <w:r>
        <w:br w:type="page"/>
      </w:r>
    </w:p>
    <w:p w14:paraId="7DB3D7BA">
      <w:pPr>
        <w:spacing w:before="480" w:after="200" w:line="360" w:lineRule="auto"/>
      </w:pPr>
      <w:r>
        <w:rPr>
          <w:rFonts w:ascii="宋体" w:hAnsi="宋体" w:eastAsia="宋体" w:cs="宋体"/>
          <w:b/>
          <w:bCs/>
          <w:sz w:val="28"/>
          <w:szCs w:val="28"/>
        </w:rPr>
        <w:t>六、总结</w:t>
      </w:r>
    </w:p>
    <w:p w14:paraId="106D4067">
      <w:pPr>
        <w:spacing w:before="0" w:after="60" w:line="360" w:lineRule="auto"/>
        <w:ind w:firstLine="480"/>
        <w:jc w:val="both"/>
      </w:pPr>
      <w:r>
        <w:rPr>
          <w:rFonts w:ascii="宋体" w:hAnsi="宋体" w:eastAsia="宋体" w:cs="宋体"/>
          <w:b w:val="0"/>
          <w:bCs w:val="0"/>
          <w:i w:val="0"/>
          <w:iCs w:val="0"/>
          <w:sz w:val="24"/>
          <w:szCs w:val="24"/>
        </w:rPr>
        <w:t>本实验以京东</w:t>
      </w:r>
      <w:r>
        <w:rPr>
          <w:rFonts w:ascii="Times New Roman" w:hAnsi="Times New Roman" w:eastAsia="Times New Roman" w:cs="Times New Roman"/>
          <w:b w:val="0"/>
          <w:bCs w:val="0"/>
          <w:i w:val="0"/>
          <w:iCs w:val="0"/>
          <w:sz w:val="24"/>
          <w:szCs w:val="24"/>
        </w:rPr>
        <w:t xml:space="preserve"> 2016 </w:t>
      </w:r>
      <w:r>
        <w:rPr>
          <w:rFonts w:ascii="宋体" w:hAnsi="宋体" w:eastAsia="宋体" w:cs="宋体"/>
          <w:b w:val="0"/>
          <w:bCs w:val="0"/>
          <w:i w:val="0"/>
          <w:iCs w:val="0"/>
          <w:sz w:val="24"/>
          <w:szCs w:val="24"/>
        </w:rPr>
        <w:t>年二至四月的公开行为数据为基础，在</w:t>
      </w:r>
      <w:r>
        <w:rPr>
          <w:rFonts w:ascii="Times New Roman" w:hAnsi="Times New Roman" w:eastAsia="Times New Roman" w:cs="Times New Roman"/>
          <w:b w:val="0"/>
          <w:bCs w:val="0"/>
          <w:i w:val="0"/>
          <w:iCs w:val="0"/>
          <w:sz w:val="24"/>
          <w:szCs w:val="24"/>
        </w:rPr>
        <w:t xml:space="preserve"> 29,271 </w:t>
      </w:r>
      <w:r>
        <w:rPr>
          <w:rFonts w:ascii="宋体" w:hAnsi="宋体" w:eastAsia="宋体" w:cs="宋体"/>
          <w:b w:val="0"/>
          <w:bCs w:val="0"/>
          <w:i w:val="0"/>
          <w:iCs w:val="0"/>
          <w:sz w:val="24"/>
          <w:szCs w:val="24"/>
        </w:rPr>
        <w:t>名用户和</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件商品的规模上，完整实现并对比了</w:t>
      </w:r>
      <w:r>
        <w:rPr>
          <w:rFonts w:ascii="Times New Roman" w:hAnsi="Times New Roman" w:eastAsia="Times New Roman" w:cs="Times New Roman"/>
          <w:b w:val="0"/>
          <w:bCs w:val="0"/>
          <w:i w:val="0"/>
          <w:iCs w:val="0"/>
          <w:sz w:val="24"/>
          <w:szCs w:val="24"/>
        </w:rPr>
        <w:t xml:space="preserve"> Item-CF</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SASRec+MLP </w:t>
      </w:r>
      <w:r>
        <w:rPr>
          <w:rFonts w:ascii="宋体" w:hAnsi="宋体" w:eastAsia="宋体" w:cs="宋体"/>
          <w:b w:val="0"/>
          <w:bCs w:val="0"/>
          <w:i w:val="0"/>
          <w:iCs w:val="0"/>
          <w:sz w:val="24"/>
          <w:szCs w:val="24"/>
        </w:rPr>
        <w:t>三种推荐方法。</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以</w:t>
      </w:r>
      <w:r>
        <w:rPr>
          <w:rFonts w:ascii="Times New Roman" w:hAnsi="Times New Roman" w:eastAsia="Times New Roman" w:cs="Times New Roman"/>
          <w:b w:val="0"/>
          <w:bCs w:val="0"/>
          <w:i w:val="0"/>
          <w:iCs w:val="0"/>
          <w:sz w:val="24"/>
          <w:szCs w:val="24"/>
        </w:rPr>
        <w:t xml:space="preserve"> Recall@10 = 0.0540 </w:t>
      </w:r>
      <w:r>
        <w:rPr>
          <w:rFonts w:ascii="宋体" w:hAnsi="宋体" w:eastAsia="宋体" w:cs="宋体"/>
          <w:b w:val="0"/>
          <w:bCs w:val="0"/>
          <w:i w:val="0"/>
          <w:iCs w:val="0"/>
          <w:sz w:val="24"/>
          <w:szCs w:val="24"/>
        </w:rPr>
        <w:t>居于召回率首位；</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以</w:t>
      </w:r>
      <w:r>
        <w:rPr>
          <w:rFonts w:ascii="Times New Roman" w:hAnsi="Times New Roman" w:eastAsia="Times New Roman" w:cs="Times New Roman"/>
          <w:b w:val="0"/>
          <w:bCs w:val="0"/>
          <w:i w:val="0"/>
          <w:iCs w:val="0"/>
          <w:sz w:val="24"/>
          <w:szCs w:val="24"/>
        </w:rPr>
        <w:t xml:space="preserve"> NDCG@10 = 0.0291 </w:t>
      </w:r>
      <w:r>
        <w:rPr>
          <w:rFonts w:ascii="宋体" w:hAnsi="宋体" w:eastAsia="宋体" w:cs="宋体"/>
          <w:b w:val="0"/>
          <w:bCs w:val="0"/>
          <w:i w:val="0"/>
          <w:iCs w:val="0"/>
          <w:sz w:val="24"/>
          <w:szCs w:val="24"/>
        </w:rPr>
        <w:t>取得排序质量最优，</w:t>
      </w:r>
      <w:r>
        <w:rPr>
          <w:rFonts w:ascii="Times New Roman" w:hAnsi="Times New Roman" w:eastAsia="Times New Roman" w:cs="Times New Roman"/>
          <w:b w:val="0"/>
          <w:bCs w:val="0"/>
          <w:i w:val="0"/>
          <w:iCs w:val="0"/>
          <w:sz w:val="24"/>
          <w:szCs w:val="24"/>
        </w:rPr>
        <w:t xml:space="preserve">Recall@10 = 0.0480 </w:t>
      </w:r>
      <w:r>
        <w:rPr>
          <w:rFonts w:ascii="宋体" w:hAnsi="宋体" w:eastAsia="宋体" w:cs="宋体"/>
          <w:b w:val="0"/>
          <w:bCs w:val="0"/>
          <w:i w:val="0"/>
          <w:iCs w:val="0"/>
          <w:sz w:val="24"/>
          <w:szCs w:val="24"/>
        </w:rPr>
        <w:t>位列第二，比</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基线分别提升</w:t>
      </w:r>
      <w:r>
        <w:rPr>
          <w:rFonts w:ascii="Times New Roman" w:hAnsi="Times New Roman" w:eastAsia="Times New Roman" w:cs="Times New Roman"/>
          <w:b w:val="0"/>
          <w:bCs w:val="0"/>
          <w:i w:val="0"/>
          <w:iCs w:val="0"/>
          <w:sz w:val="24"/>
          <w:szCs w:val="24"/>
        </w:rPr>
        <w:t xml:space="preserve"> 26.3%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23.3%</w:t>
      </w:r>
      <w:r>
        <w:rPr>
          <w:rFonts w:ascii="宋体" w:hAnsi="宋体" w:eastAsia="宋体" w:cs="宋体"/>
          <w:b w:val="0"/>
          <w:bCs w:val="0"/>
          <w:i w:val="0"/>
          <w:iCs w:val="0"/>
          <w:sz w:val="24"/>
          <w:szCs w:val="24"/>
        </w:rPr>
        <w:t>。</w:t>
      </w:r>
    </w:p>
    <w:p w14:paraId="20F7D0EF">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采用属性输入端注入设计，将离散属性</w:t>
      </w:r>
      <w:r>
        <w:rPr>
          <w:rFonts w:ascii="Times New Roman" w:hAnsi="Times New Roman" w:eastAsia="Times New Roman" w:cs="Times New Roman"/>
          <w:b w:val="0"/>
          <w:bCs w:val="0"/>
          <w:i w:val="0"/>
          <w:iCs w:val="0"/>
          <w:sz w:val="24"/>
          <w:szCs w:val="24"/>
        </w:rPr>
        <w:t xml:space="preserve"> Embedding</w:t>
      </w:r>
      <w:r>
        <w:rPr>
          <w:rFonts w:ascii="宋体" w:hAnsi="宋体" w:eastAsia="宋体" w:cs="宋体"/>
          <w:b w:val="0"/>
          <w:bCs w:val="0"/>
          <w:i w:val="0"/>
          <w:iCs w:val="0"/>
          <w:sz w:val="24"/>
          <w:szCs w:val="24"/>
        </w:rPr>
        <w:t>（品类、品牌、</w:t>
      </w:r>
      <w:r>
        <w:rPr>
          <w:rFonts w:ascii="Times New Roman" w:hAnsi="Times New Roman" w:eastAsia="Times New Roman" w:cs="Times New Roman"/>
          <w:b w:val="0"/>
          <w:bCs w:val="0"/>
          <w:i w:val="0"/>
          <w:iCs w:val="0"/>
          <w:sz w:val="24"/>
          <w:szCs w:val="24"/>
        </w:rPr>
        <w:t xml:space="preserve">a1-a3 </w:t>
      </w:r>
      <w:r>
        <w:rPr>
          <w:rFonts w:ascii="宋体" w:hAnsi="宋体" w:eastAsia="宋体" w:cs="宋体"/>
          <w:b w:val="0"/>
          <w:bCs w:val="0"/>
          <w:i w:val="0"/>
          <w:iCs w:val="0"/>
          <w:sz w:val="24"/>
          <w:szCs w:val="24"/>
        </w:rPr>
        <w:t>各</w:t>
      </w:r>
      <w:r>
        <w:rPr>
          <w:rFonts w:ascii="Times New Roman" w:hAnsi="Times New Roman" w:eastAsia="Times New Roman" w:cs="Times New Roman"/>
          <w:b w:val="0"/>
          <w:bCs w:val="0"/>
          <w:i w:val="0"/>
          <w:iCs w:val="0"/>
          <w:sz w:val="24"/>
          <w:szCs w:val="24"/>
        </w:rPr>
        <w:t xml:space="preserve"> 16 </w:t>
      </w:r>
      <w:r>
        <w:rPr>
          <w:rFonts w:ascii="宋体" w:hAnsi="宋体" w:eastAsia="宋体" w:cs="宋体"/>
          <w:b w:val="0"/>
          <w:bCs w:val="0"/>
          <w:i w:val="0"/>
          <w:iCs w:val="0"/>
          <w:sz w:val="24"/>
          <w:szCs w:val="24"/>
        </w:rPr>
        <w:t>维）与归一化评论数经</w:t>
      </w:r>
      <w:r>
        <w:rPr>
          <w:rFonts w:ascii="Times New Roman" w:hAnsi="Times New Roman" w:eastAsia="Times New Roman" w:cs="Times New Roman"/>
          <w:b w:val="0"/>
          <w:bCs w:val="0"/>
          <w:i w:val="0"/>
          <w:iCs w:val="0"/>
          <w:sz w:val="24"/>
          <w:szCs w:val="24"/>
        </w:rPr>
        <w:t xml:space="preserve"> MLP </w:t>
      </w:r>
      <w:r>
        <w:rPr>
          <w:rFonts w:ascii="宋体" w:hAnsi="宋体" w:eastAsia="宋体" w:cs="宋体"/>
          <w:b w:val="0"/>
          <w:bCs w:val="0"/>
          <w:i w:val="0"/>
          <w:iCs w:val="0"/>
          <w:sz w:val="24"/>
          <w:szCs w:val="24"/>
        </w:rPr>
        <w:t>投影后叠加到</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上，在</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编码阶段即融合属性信息；输出端使用全量</w:t>
      </w:r>
      <w:r>
        <w:rPr>
          <w:rFonts w:ascii="Times New Roman" w:hAnsi="Times New Roman" w:eastAsia="Times New Roman" w:cs="Times New Roman"/>
          <w:b w:val="0"/>
          <w:bCs w:val="0"/>
          <w:i w:val="0"/>
          <w:iCs w:val="0"/>
          <w:sz w:val="24"/>
          <w:szCs w:val="24"/>
        </w:rPr>
        <w:t xml:space="preserve"> Softmax</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CrossEntropyLoss</w:t>
      </w:r>
      <w:r>
        <w:rPr>
          <w:rFonts w:ascii="宋体" w:hAnsi="宋体" w:eastAsia="宋体" w:cs="宋体"/>
          <w:b w:val="0"/>
          <w:bCs w:val="0"/>
          <w:i w:val="0"/>
          <w:iCs w:val="0"/>
          <w:sz w:val="24"/>
          <w:szCs w:val="24"/>
        </w:rPr>
        <w:t>）训练，隐藏层维度</w:t>
      </w:r>
      <w:r>
        <w:rPr>
          <w:rFonts w:ascii="Times New Roman" w:hAnsi="Times New Roman" w:eastAsia="Times New Roman" w:cs="Times New Roman"/>
          <w:b w:val="0"/>
          <w:bCs w:val="0"/>
          <w:i w:val="0"/>
          <w:iCs w:val="0"/>
          <w:sz w:val="24"/>
          <w:szCs w:val="24"/>
        </w:rPr>
        <w:t xml:space="preserve"> 128</w:t>
      </w:r>
      <w:r>
        <w:rPr>
          <w:rFonts w:ascii="宋体" w:hAnsi="宋体" w:eastAsia="宋体" w:cs="宋体"/>
          <w:b w:val="0"/>
          <w:bCs w:val="0"/>
          <w:i w:val="0"/>
          <w:iCs w:val="0"/>
          <w:sz w:val="24"/>
          <w:szCs w:val="24"/>
        </w:rPr>
        <w:t>。训练损失从</w:t>
      </w:r>
      <w:r>
        <w:rPr>
          <w:rFonts w:ascii="Times New Roman" w:hAnsi="Times New Roman" w:eastAsia="Times New Roman" w:cs="Times New Roman"/>
          <w:b w:val="0"/>
          <w:bCs w:val="0"/>
          <w:i w:val="0"/>
          <w:iCs w:val="0"/>
          <w:sz w:val="24"/>
          <w:szCs w:val="24"/>
        </w:rPr>
        <w:t xml:space="preserve"> 4.71 </w:t>
      </w:r>
      <w:r>
        <w:rPr>
          <w:rFonts w:ascii="宋体" w:hAnsi="宋体" w:eastAsia="宋体" w:cs="宋体"/>
          <w:b w:val="0"/>
          <w:bCs w:val="0"/>
          <w:i w:val="0"/>
          <w:iCs w:val="0"/>
          <w:sz w:val="24"/>
          <w:szCs w:val="24"/>
        </w:rPr>
        <w:t>下降至</w:t>
      </w:r>
      <w:r>
        <w:rPr>
          <w:rFonts w:ascii="Times New Roman" w:hAnsi="Times New Roman" w:eastAsia="Times New Roman" w:cs="Times New Roman"/>
          <w:b w:val="0"/>
          <w:bCs w:val="0"/>
          <w:i w:val="0"/>
          <w:iCs w:val="0"/>
          <w:sz w:val="24"/>
          <w:szCs w:val="24"/>
        </w:rPr>
        <w:t xml:space="preserve"> 3.99</w:t>
      </w:r>
      <w:r>
        <w:rPr>
          <w:rFonts w:ascii="宋体" w:hAnsi="宋体" w:eastAsia="宋体" w:cs="宋体"/>
          <w:b w:val="0"/>
          <w:bCs w:val="0"/>
          <w:i w:val="0"/>
          <w:iCs w:val="0"/>
          <w:sz w:val="24"/>
          <w:szCs w:val="24"/>
        </w:rPr>
        <w:t>，收敛趋势良好。冷启动定量分析显示，</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在长序列用户上与</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几乎持平（</w:t>
      </w:r>
      <w:r>
        <w:rPr>
          <w:rFonts w:ascii="Times New Roman" w:hAnsi="Times New Roman" w:eastAsia="Times New Roman" w:cs="Times New Roman"/>
          <w:b w:val="0"/>
          <w:bCs w:val="0"/>
          <w:i w:val="0"/>
          <w:iCs w:val="0"/>
          <w:sz w:val="24"/>
          <w:szCs w:val="24"/>
        </w:rPr>
        <w:t>Recall@10 0.0404 vs 0.0423</w:t>
      </w:r>
      <w:r>
        <w:rPr>
          <w:rFonts w:ascii="宋体" w:hAnsi="宋体" w:eastAsia="宋体" w:cs="宋体"/>
          <w:b w:val="0"/>
          <w:bCs w:val="0"/>
          <w:i w:val="0"/>
          <w:iCs w:val="0"/>
          <w:sz w:val="24"/>
          <w:szCs w:val="24"/>
        </w:rPr>
        <w:t>），但在短序列用户上差距较大，表明自注意力机制对序列长度有较强依赖。</w:t>
      </w:r>
    </w:p>
    <w:p w14:paraId="0333E0DB">
      <w:pPr>
        <w:spacing w:before="0" w:after="60" w:line="360" w:lineRule="auto"/>
        <w:ind w:firstLine="480"/>
        <w:jc w:val="both"/>
      </w:pPr>
      <w:r>
        <w:rPr>
          <w:rFonts w:ascii="宋体" w:hAnsi="宋体" w:eastAsia="宋体" w:cs="宋体"/>
          <w:b w:val="0"/>
          <w:bCs w:val="0"/>
          <w:i w:val="0"/>
          <w:iCs w:val="0"/>
          <w:sz w:val="24"/>
          <w:szCs w:val="24"/>
        </w:rPr>
        <w:t>在可解释性方面，系统通过提取</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最后一层自注意力权重，找出对当前推荐贡献度最高的历史交互商品，并结合商品品牌、品类信息生成带量化权重的自然语言推荐理由，实现了模型内部决策过程的可视化解释，以静态</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页面展示，无需后端服务。后续可通过引入学习率衰减与</w:t>
      </w:r>
      <w:r>
        <w:rPr>
          <w:rFonts w:ascii="Times New Roman" w:hAnsi="Times New Roman" w:eastAsia="Times New Roman" w:cs="Times New Roman"/>
          <w:b w:val="0"/>
          <w:bCs w:val="0"/>
          <w:i w:val="0"/>
          <w:iCs w:val="0"/>
          <w:sz w:val="24"/>
          <w:szCs w:val="24"/>
        </w:rPr>
        <w:t xml:space="preserve"> early stopping </w:t>
      </w:r>
      <w:r>
        <w:rPr>
          <w:rFonts w:ascii="宋体" w:hAnsi="宋体" w:eastAsia="宋体" w:cs="宋体"/>
          <w:b w:val="0"/>
          <w:bCs w:val="0"/>
          <w:i w:val="0"/>
          <w:iCs w:val="0"/>
          <w:sz w:val="24"/>
          <w:szCs w:val="24"/>
        </w:rPr>
        <w:t>进一步提升收敛效果，或采用预训练商品内容编码器改善冷启动场景的推荐性能。</w:t>
      </w:r>
    </w:p>
    <w:sectPr>
      <w:footerReference r:id="rId3" w:type="default"/>
      <w:pgSz w:w="11906" w:h="16838"/>
      <w:pgMar w:top="1418" w:right="1418" w:bottom="1898" w:left="1418" w:header="708" w:footer="708"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2C0A9">
    <w:pPr>
      <w:jc w:val="center"/>
    </w:pPr>
    <w:r>
      <w:rPr>
        <w:rFonts w:ascii="Times New Roman" w:hAnsi="Times New Roman" w:eastAsia="Times New Roman" w:cs="Times New Roman"/>
        <w:sz w:val="21"/>
        <w:szCs w:val="21"/>
      </w:rPr>
      <w:fldChar w:fldCharType="begin"/>
    </w:r>
    <w:r>
      <w:rPr>
        <w:rFonts w:ascii="Times New Roman" w:hAnsi="Times New Roman" w:eastAsia="Times New Roman" w:cs="Times New Roman"/>
        <w:sz w:val="21"/>
        <w:szCs w:val="21"/>
      </w:rPr>
      <w:instrText xml:space="preserve">PAGE</w:instrText>
    </w:r>
    <w:r>
      <w:rPr>
        <w:rFonts w:ascii="Times New Roman" w:hAnsi="Times New Roman" w:eastAsia="Times New Roman" w:cs="Times New Roman"/>
        <w:sz w:val="21"/>
        <w:szCs w:val="21"/>
      </w:rPr>
      <w:fldChar w:fldCharType="separate"/>
    </w:r>
    <w:r>
      <w:rPr>
        <w:rFonts w:ascii="Times New Roman" w:hAnsi="Times New Roman" w:eastAsia="Times New Roman" w:cs="Times New Roman"/>
        <w:sz w:val="21"/>
        <w:szCs w:val="21"/>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ompat>
    <w:useFELayout/>
    <w:compatSetting w:name="compatibilityMode" w:uri="http://schemas.microsoft.com/office/word" w:val="15"/>
  </w:compat>
  <w:rsids>
    <w:rsidRoot w:val="00000000"/>
    <w:rsid w:val="5D2450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uiPriority w:val="99"/>
    <w:pPr>
      <w:spacing w:after="0" w:line="240" w:lineRule="auto"/>
    </w:pPr>
    <w:rPr>
      <w:sz w:val="20"/>
      <w:szCs w:val="20"/>
    </w:rPr>
  </w:style>
  <w:style w:type="paragraph" w:styleId="9">
    <w:name w:val="footnote text"/>
    <w:link w:val="17"/>
    <w:semiHidden/>
    <w:unhideWhenUsed/>
    <w:uiPriority w:val="99"/>
    <w:pPr>
      <w:spacing w:after="0" w:line="240" w:lineRule="auto"/>
    </w:pPr>
    <w:rPr>
      <w:sz w:val="20"/>
      <w:szCs w:val="20"/>
    </w:rPr>
  </w:style>
  <w:style w:type="paragraph" w:styleId="10">
    <w:name w:val="Title"/>
    <w:qFormat/>
    <w:uiPriority w:val="0"/>
    <w:rPr>
      <w:sz w:val="56"/>
      <w:szCs w:val="56"/>
    </w:rPr>
  </w:style>
  <w:style w:type="character" w:styleId="13">
    <w:name w:val="endnote reference"/>
    <w:semiHidden/>
    <w:unhideWhenUsed/>
    <w:uiPriority w:val="99"/>
    <w:rPr>
      <w:vertAlign w:val="superscript"/>
    </w:rPr>
  </w:style>
  <w:style w:type="character" w:styleId="14">
    <w:name w:val="Hyperlink"/>
    <w:unhideWhenUsed/>
    <w:uiPriority w:val="99"/>
    <w:rPr>
      <w:color w:val="0563C1"/>
      <w:u w:val="single"/>
    </w:rPr>
  </w:style>
  <w:style w:type="character" w:styleId="15">
    <w:name w:val="footnote reference"/>
    <w:semiHidden/>
    <w:unhideWhenUsed/>
    <w:uiPriority w:val="99"/>
    <w:rPr>
      <w:vertAlign w:val="superscript"/>
    </w:rPr>
  </w:style>
  <w:style w:type="paragraph" w:styleId="16">
    <w:name w:val="List Paragraph"/>
    <w:qFormat/>
    <w:uiPriority w:val="0"/>
    <w:rPr>
      <w:sz w:val="21"/>
      <w:szCs w:val="22"/>
    </w:rPr>
  </w:style>
  <w:style w:type="character" w:customStyle="1" w:styleId="17">
    <w:name w:val="Footnote Text Char"/>
    <w:link w:val="9"/>
    <w:semiHidden/>
    <w:unhideWhenUsed/>
    <w:uiPriority w:val="99"/>
    <w:rPr>
      <w:sz w:val="20"/>
      <w:szCs w:val="20"/>
    </w:rPr>
  </w:style>
  <w:style w:type="character" w:customStyle="1" w:styleId="18">
    <w:name w:val="End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4259</Words>
  <Characters>5816</Characters>
  <TotalTime>0</TotalTime>
  <ScaleCrop>false</ScaleCrop>
  <LinksUpToDate>false</LinksUpToDate>
  <CharactersWithSpaces>6276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2026-04-08T20:35:00Z</dcterms:created>
  <dc:creator>Un-named</dc:creator>
  <cp:lastModifiedBy>WPS_1665158381</cp:lastModifiedBy>
  <dcterms:modified xsi:type="dcterms:W3CDTF">2026-04-09T06:52:26Z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2052-12.1.0.25225</vt:lpwstr>
  </property>
  <property fmtid="{D5CDD505-2E9C-101B-9397-08002B2CF9AE}" pid="4" name="ICV">
    <vt:lpwstr>0BF6BDE21788472C97A11B2D20C78A88_12</vt:lpwstr>
  </property>
</Properties>
</file>